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6D278" w14:textId="3A028A39" w:rsidR="00EE112C" w:rsidRPr="00EE112C" w:rsidRDefault="00EE112C" w:rsidP="00EE112C">
      <w:pPr>
        <w:ind w:right="103"/>
        <w:jc w:val="center"/>
        <w:rPr>
          <w:rFonts w:ascii="Times New Roman" w:hAnsi="Times New Roman"/>
          <w:b/>
          <w:sz w:val="24"/>
          <w:szCs w:val="24"/>
        </w:rPr>
      </w:pPr>
      <w:r w:rsidRPr="00EE112C">
        <w:rPr>
          <w:rFonts w:ascii="Times New Roman" w:hAnsi="Times New Roman"/>
          <w:b/>
          <w:sz w:val="24"/>
          <w:szCs w:val="24"/>
        </w:rPr>
        <w:t>Curso de Formação Continuada – O JUIZ E OS DESAFIOS DO PROCESSO CIVIL COLETIVO</w:t>
      </w:r>
    </w:p>
    <w:p w14:paraId="4D36CCC7" w14:textId="77777777" w:rsidR="00EE112C" w:rsidRPr="00EE112C" w:rsidRDefault="00EE112C" w:rsidP="00A071A6">
      <w:pPr>
        <w:ind w:right="103"/>
        <w:jc w:val="both"/>
        <w:rPr>
          <w:rFonts w:ascii="Times New Roman" w:hAnsi="Times New Roman"/>
          <w:b/>
          <w:sz w:val="24"/>
          <w:szCs w:val="24"/>
        </w:rPr>
      </w:pPr>
    </w:p>
    <w:p w14:paraId="1A9F50CA" w14:textId="5AB1DF2F" w:rsidR="00EE112C" w:rsidRPr="00EE112C" w:rsidRDefault="00EE112C" w:rsidP="00EE112C">
      <w:pPr>
        <w:ind w:right="103"/>
        <w:jc w:val="center"/>
        <w:rPr>
          <w:rFonts w:ascii="Times New Roman" w:hAnsi="Times New Roman"/>
          <w:sz w:val="24"/>
          <w:szCs w:val="24"/>
        </w:rPr>
      </w:pPr>
    </w:p>
    <w:p w14:paraId="11F03861" w14:textId="71548A1A" w:rsidR="00EE112C" w:rsidRDefault="00937E08" w:rsidP="00EE112C">
      <w:pPr>
        <w:ind w:right="10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 de agosto </w:t>
      </w:r>
      <w:r w:rsidR="00EE112C" w:rsidRPr="00EE112C">
        <w:rPr>
          <w:rFonts w:ascii="Times New Roman" w:hAnsi="Times New Roman"/>
          <w:sz w:val="24"/>
          <w:szCs w:val="24"/>
        </w:rPr>
        <w:t>de 201</w:t>
      </w:r>
      <w:r>
        <w:rPr>
          <w:rFonts w:ascii="Times New Roman" w:hAnsi="Times New Roman"/>
          <w:sz w:val="24"/>
          <w:szCs w:val="24"/>
        </w:rPr>
        <w:t>9.</w:t>
      </w:r>
    </w:p>
    <w:p w14:paraId="56E0F5A4" w14:textId="77777777" w:rsidR="00EE112C" w:rsidRPr="00EE112C" w:rsidRDefault="00EE112C" w:rsidP="00EE112C">
      <w:pPr>
        <w:ind w:right="103"/>
        <w:jc w:val="center"/>
        <w:rPr>
          <w:rFonts w:ascii="Times New Roman" w:hAnsi="Times New Roman"/>
          <w:sz w:val="24"/>
          <w:szCs w:val="24"/>
        </w:rPr>
      </w:pPr>
    </w:p>
    <w:p w14:paraId="3775FB25" w14:textId="4F7835D4" w:rsidR="008C1D2D" w:rsidRDefault="00EE112C" w:rsidP="00A071A6">
      <w:pPr>
        <w:ind w:right="103"/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 xml:space="preserve">OFICINA A </w:t>
      </w:r>
      <w:r w:rsidR="008C1D2D" w:rsidRPr="00EE112C">
        <w:rPr>
          <w:rFonts w:ascii="Times New Roman" w:hAnsi="Times New Roman"/>
          <w:sz w:val="24"/>
          <w:szCs w:val="24"/>
        </w:rPr>
        <w:t xml:space="preserve">– </w:t>
      </w:r>
      <w:r w:rsidRPr="00EE112C">
        <w:rPr>
          <w:rFonts w:ascii="Times New Roman" w:hAnsi="Times New Roman"/>
          <w:sz w:val="24"/>
          <w:szCs w:val="24"/>
        </w:rPr>
        <w:t xml:space="preserve">TEMA: LITIGIOSIDADE REPETITIVA RELACIONADA A TELECOMUNICAÇÕES: Caso Tarifa Básica </w:t>
      </w:r>
      <w:r>
        <w:rPr>
          <w:rFonts w:ascii="Times New Roman" w:hAnsi="Times New Roman"/>
          <w:sz w:val="24"/>
          <w:szCs w:val="24"/>
        </w:rPr>
        <w:t>d</w:t>
      </w:r>
      <w:r w:rsidRPr="00EE112C">
        <w:rPr>
          <w:rFonts w:ascii="Times New Roman" w:hAnsi="Times New Roman"/>
          <w:sz w:val="24"/>
          <w:szCs w:val="24"/>
        </w:rPr>
        <w:t xml:space="preserve">e Telefonia </w:t>
      </w:r>
    </w:p>
    <w:p w14:paraId="51B5F3C9" w14:textId="77777777" w:rsidR="00EE112C" w:rsidRPr="00EE112C" w:rsidRDefault="00EE112C" w:rsidP="00A071A6">
      <w:pPr>
        <w:ind w:right="103"/>
        <w:jc w:val="both"/>
        <w:rPr>
          <w:rFonts w:ascii="Times New Roman" w:hAnsi="Times New Roman"/>
          <w:sz w:val="24"/>
          <w:szCs w:val="24"/>
        </w:rPr>
      </w:pPr>
    </w:p>
    <w:p w14:paraId="4430982D" w14:textId="247505BE" w:rsidR="008C1D2D" w:rsidRPr="00EE112C" w:rsidRDefault="00EE112C" w:rsidP="00A071A6">
      <w:pPr>
        <w:ind w:right="103"/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>FORMADORES FACILITADORES:</w:t>
      </w:r>
    </w:p>
    <w:p w14:paraId="174AD91B" w14:textId="77777777" w:rsidR="008C1D2D" w:rsidRPr="00EE112C" w:rsidRDefault="008C1D2D" w:rsidP="00A071A6">
      <w:pPr>
        <w:ind w:right="103"/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 xml:space="preserve">Juiz de Direito Antônio Silveira Neto (TJPB) </w:t>
      </w:r>
    </w:p>
    <w:p w14:paraId="2D77A3B9" w14:textId="3641DD92" w:rsidR="00010AFA" w:rsidRPr="00EE112C" w:rsidRDefault="008C1D2D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 xml:space="preserve">Juíza de Direito </w:t>
      </w:r>
      <w:r w:rsidR="00C76F18">
        <w:rPr>
          <w:rFonts w:asciiTheme="minorHAnsi" w:hAnsiTheme="minorHAnsi"/>
          <w:sz w:val="24"/>
          <w:szCs w:val="24"/>
        </w:rPr>
        <w:t>Mayra Júlia Teixeira Brandão</w:t>
      </w:r>
      <w:r w:rsidR="00C76F18" w:rsidRPr="00EE112C">
        <w:rPr>
          <w:rFonts w:ascii="Times New Roman" w:hAnsi="Times New Roman"/>
          <w:sz w:val="24"/>
          <w:szCs w:val="24"/>
        </w:rPr>
        <w:t xml:space="preserve"> </w:t>
      </w:r>
      <w:r w:rsidR="00C76F18">
        <w:rPr>
          <w:rFonts w:ascii="Times New Roman" w:hAnsi="Times New Roman"/>
          <w:sz w:val="24"/>
          <w:szCs w:val="24"/>
        </w:rPr>
        <w:t>(TJAP</w:t>
      </w:r>
      <w:r w:rsidRPr="00EE112C">
        <w:rPr>
          <w:rFonts w:ascii="Times New Roman" w:hAnsi="Times New Roman"/>
          <w:sz w:val="24"/>
          <w:szCs w:val="24"/>
        </w:rPr>
        <w:t>)</w:t>
      </w:r>
      <w:bookmarkStart w:id="0" w:name="_GoBack"/>
      <w:bookmarkEnd w:id="0"/>
    </w:p>
    <w:p w14:paraId="61D0AB8C" w14:textId="77777777" w:rsidR="008C1D2D" w:rsidRPr="00EE112C" w:rsidRDefault="008C1D2D" w:rsidP="00A071A6">
      <w:pPr>
        <w:jc w:val="both"/>
        <w:rPr>
          <w:rFonts w:ascii="Times New Roman" w:hAnsi="Times New Roman"/>
          <w:sz w:val="24"/>
          <w:szCs w:val="24"/>
        </w:rPr>
      </w:pPr>
    </w:p>
    <w:p w14:paraId="1D5214AB" w14:textId="77777777" w:rsidR="008C1D2D" w:rsidRPr="00EE112C" w:rsidRDefault="008C1D2D" w:rsidP="00A071A6">
      <w:pPr>
        <w:jc w:val="both"/>
        <w:rPr>
          <w:rFonts w:ascii="Times New Roman" w:hAnsi="Times New Roman"/>
          <w:sz w:val="24"/>
          <w:szCs w:val="24"/>
        </w:rPr>
      </w:pPr>
    </w:p>
    <w:p w14:paraId="7218B0BD" w14:textId="77777777" w:rsidR="00454431" w:rsidRPr="00EE112C" w:rsidRDefault="00454431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>Descrição</w:t>
      </w:r>
    </w:p>
    <w:p w14:paraId="36ACB847" w14:textId="77777777" w:rsidR="00454431" w:rsidRPr="00EE112C" w:rsidRDefault="00454431" w:rsidP="00A071A6">
      <w:pPr>
        <w:jc w:val="both"/>
        <w:rPr>
          <w:rFonts w:ascii="Times New Roman" w:hAnsi="Times New Roman"/>
          <w:sz w:val="24"/>
          <w:szCs w:val="24"/>
        </w:rPr>
      </w:pPr>
    </w:p>
    <w:p w14:paraId="70EFB2CB" w14:textId="3841281D" w:rsidR="00355823" w:rsidRPr="00EE112C" w:rsidRDefault="00355823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>Trata-se de estudo de caso sobre a litigiosidade repetitiva cuja tese jurídica diz respeito à inexigibilidade do pagamento de tarifa de assinatura residencial pela propriedade de linha telefônica</w:t>
      </w:r>
      <w:r w:rsidR="00240AE7" w:rsidRPr="00EE112C">
        <w:rPr>
          <w:rFonts w:ascii="Times New Roman" w:hAnsi="Times New Roman"/>
          <w:sz w:val="24"/>
          <w:szCs w:val="24"/>
        </w:rPr>
        <w:t>, sobretudo a partir do ano de 2004</w:t>
      </w:r>
      <w:r w:rsidRPr="00EE112C">
        <w:rPr>
          <w:rFonts w:ascii="Times New Roman" w:hAnsi="Times New Roman"/>
          <w:sz w:val="24"/>
          <w:szCs w:val="24"/>
        </w:rPr>
        <w:t>. Nas ações individuais, o litigante eventual é o consumidor, que promove ação declaratória de inexigibilidade de valores contra o litigante habitual, a concessionária do Serviço Telefônico Fixo Comutado. Nas ações coletivas, a empresa mantém sua posição de litigante habitual, e é demandada por um substituto processual, que representa os litigantes eventuais.</w:t>
      </w:r>
      <w:r w:rsidR="00486E59" w:rsidRPr="00EE112C">
        <w:rPr>
          <w:rFonts w:ascii="Times New Roman" w:hAnsi="Times New Roman"/>
          <w:sz w:val="24"/>
          <w:szCs w:val="24"/>
        </w:rPr>
        <w:t xml:space="preserve"> </w:t>
      </w:r>
      <w:r w:rsidRPr="00EE112C">
        <w:rPr>
          <w:rFonts w:ascii="Times New Roman" w:hAnsi="Times New Roman"/>
          <w:sz w:val="24"/>
          <w:szCs w:val="24"/>
        </w:rPr>
        <w:t>O estudo visa à compreensão desta litigiosidade, tanto em nível federal quanto estadual</w:t>
      </w:r>
      <w:r w:rsidR="00161126" w:rsidRPr="00EE112C">
        <w:rPr>
          <w:rFonts w:ascii="Times New Roman" w:hAnsi="Times New Roman"/>
          <w:sz w:val="24"/>
          <w:szCs w:val="24"/>
        </w:rPr>
        <w:t>, e especialmente no Estado de São Paulo</w:t>
      </w:r>
      <w:r w:rsidRPr="00EE112C">
        <w:rPr>
          <w:rFonts w:ascii="Times New Roman" w:hAnsi="Times New Roman"/>
          <w:sz w:val="24"/>
          <w:szCs w:val="24"/>
        </w:rPr>
        <w:t>. A litigiosidade repetitiva decorrente desta tese jurídica não foi objeto de nenhuma política de administração judiciária. Dúvidas processuais sobre (i) litispendência, (</w:t>
      </w:r>
      <w:proofErr w:type="spellStart"/>
      <w:r w:rsidRPr="00EE112C">
        <w:rPr>
          <w:rFonts w:ascii="Times New Roman" w:hAnsi="Times New Roman"/>
          <w:sz w:val="24"/>
          <w:szCs w:val="24"/>
        </w:rPr>
        <w:t>ii</w:t>
      </w:r>
      <w:proofErr w:type="spellEnd"/>
      <w:r w:rsidRPr="00EE112C">
        <w:rPr>
          <w:rFonts w:ascii="Times New Roman" w:hAnsi="Times New Roman"/>
          <w:sz w:val="24"/>
          <w:szCs w:val="24"/>
        </w:rPr>
        <w:t>) conexão, (</w:t>
      </w:r>
      <w:proofErr w:type="spellStart"/>
      <w:r w:rsidRPr="00EE112C">
        <w:rPr>
          <w:rFonts w:ascii="Times New Roman" w:hAnsi="Times New Roman"/>
          <w:sz w:val="24"/>
          <w:szCs w:val="24"/>
        </w:rPr>
        <w:t>iii</w:t>
      </w:r>
      <w:proofErr w:type="spellEnd"/>
      <w:r w:rsidRPr="00EE112C">
        <w:rPr>
          <w:rFonts w:ascii="Times New Roman" w:hAnsi="Times New Roman"/>
          <w:sz w:val="24"/>
          <w:szCs w:val="24"/>
        </w:rPr>
        <w:t>) continência, (</w:t>
      </w:r>
      <w:proofErr w:type="spellStart"/>
      <w:r w:rsidRPr="00EE112C">
        <w:rPr>
          <w:rFonts w:ascii="Times New Roman" w:hAnsi="Times New Roman"/>
          <w:sz w:val="24"/>
          <w:szCs w:val="24"/>
        </w:rPr>
        <w:t>iv</w:t>
      </w:r>
      <w:proofErr w:type="spellEnd"/>
      <w:r w:rsidRPr="00EE112C">
        <w:rPr>
          <w:rFonts w:ascii="Times New Roman" w:hAnsi="Times New Roman"/>
          <w:sz w:val="24"/>
          <w:szCs w:val="24"/>
        </w:rPr>
        <w:t xml:space="preserve">) limites territoriais da coisa julgada e (v) pertinência da participação da Anatel nos processos, que resultaram em muitos recursos e deslocamentos de competência, impactaram negativamente o tramitar das ações coletivas. </w:t>
      </w:r>
      <w:r w:rsidR="00603A6F" w:rsidRPr="00EE112C">
        <w:rPr>
          <w:rFonts w:ascii="Times New Roman" w:hAnsi="Times New Roman"/>
          <w:sz w:val="24"/>
          <w:szCs w:val="24"/>
        </w:rPr>
        <w:t>Os principais julgados referentes ao estudo de caso são</w:t>
      </w:r>
      <w:r w:rsidR="00161126" w:rsidRPr="00EE112C">
        <w:rPr>
          <w:rFonts w:ascii="Times New Roman" w:hAnsi="Times New Roman"/>
          <w:sz w:val="24"/>
          <w:szCs w:val="24"/>
        </w:rPr>
        <w:t xml:space="preserve">: </w:t>
      </w:r>
      <w:r w:rsidR="00603A6F" w:rsidRPr="00EE112C">
        <w:rPr>
          <w:rFonts w:ascii="Times New Roman" w:hAnsi="Times New Roman"/>
          <w:sz w:val="24"/>
          <w:szCs w:val="24"/>
        </w:rPr>
        <w:t>STJ, R</w:t>
      </w:r>
      <w:r w:rsidR="00AB747C" w:rsidRPr="00EE112C">
        <w:rPr>
          <w:rFonts w:ascii="Times New Roman" w:hAnsi="Times New Roman"/>
          <w:sz w:val="24"/>
          <w:szCs w:val="24"/>
        </w:rPr>
        <w:t xml:space="preserve">ecurso </w:t>
      </w:r>
      <w:r w:rsidR="00603A6F" w:rsidRPr="00EE112C">
        <w:rPr>
          <w:rFonts w:ascii="Times New Roman" w:hAnsi="Times New Roman"/>
          <w:sz w:val="24"/>
          <w:szCs w:val="24"/>
        </w:rPr>
        <w:t>Esp</w:t>
      </w:r>
      <w:r w:rsidR="00AB747C" w:rsidRPr="00EE112C">
        <w:rPr>
          <w:rFonts w:ascii="Times New Roman" w:hAnsi="Times New Roman"/>
          <w:sz w:val="24"/>
          <w:szCs w:val="24"/>
        </w:rPr>
        <w:t>ecial</w:t>
      </w:r>
      <w:r w:rsidR="00603A6F" w:rsidRPr="00EE112C">
        <w:rPr>
          <w:rFonts w:ascii="Times New Roman" w:hAnsi="Times New Roman"/>
          <w:sz w:val="24"/>
          <w:szCs w:val="24"/>
        </w:rPr>
        <w:t xml:space="preserve"> 911.802/RS e </w:t>
      </w:r>
      <w:r w:rsidR="00AB747C" w:rsidRPr="00EE112C">
        <w:rPr>
          <w:rFonts w:ascii="Times New Roman" w:hAnsi="Times New Roman"/>
          <w:sz w:val="24"/>
          <w:szCs w:val="24"/>
        </w:rPr>
        <w:t xml:space="preserve">STJ, </w:t>
      </w:r>
      <w:r w:rsidR="00603A6F" w:rsidRPr="00EE112C">
        <w:rPr>
          <w:rFonts w:ascii="Times New Roman" w:hAnsi="Times New Roman"/>
          <w:sz w:val="24"/>
          <w:szCs w:val="24"/>
        </w:rPr>
        <w:t xml:space="preserve">Conflito de </w:t>
      </w:r>
      <w:r w:rsidR="00161126" w:rsidRPr="00EE112C">
        <w:rPr>
          <w:rFonts w:ascii="Times New Roman" w:hAnsi="Times New Roman"/>
          <w:sz w:val="24"/>
          <w:szCs w:val="24"/>
        </w:rPr>
        <w:t>Competência 47.731/DF</w:t>
      </w:r>
      <w:r w:rsidR="00AB747C" w:rsidRPr="00EE112C">
        <w:rPr>
          <w:rFonts w:ascii="Times New Roman" w:hAnsi="Times New Roman"/>
          <w:sz w:val="24"/>
          <w:szCs w:val="24"/>
        </w:rPr>
        <w:t>.</w:t>
      </w:r>
    </w:p>
    <w:p w14:paraId="36AB0B4F" w14:textId="77777777" w:rsidR="00161126" w:rsidRPr="00EE112C" w:rsidRDefault="00161126" w:rsidP="00A071A6">
      <w:pPr>
        <w:jc w:val="both"/>
        <w:rPr>
          <w:rFonts w:ascii="Times New Roman" w:hAnsi="Times New Roman"/>
          <w:sz w:val="24"/>
          <w:szCs w:val="24"/>
        </w:rPr>
      </w:pPr>
    </w:p>
    <w:p w14:paraId="5ADDAF63" w14:textId="77777777" w:rsidR="00161126" w:rsidRPr="00EE112C" w:rsidRDefault="00161126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>Questões</w:t>
      </w:r>
    </w:p>
    <w:p w14:paraId="059E5311" w14:textId="77777777" w:rsidR="00161126" w:rsidRPr="00EE112C" w:rsidRDefault="00161126" w:rsidP="00A071A6">
      <w:pPr>
        <w:jc w:val="both"/>
        <w:rPr>
          <w:rFonts w:ascii="Times New Roman" w:hAnsi="Times New Roman"/>
          <w:sz w:val="24"/>
          <w:szCs w:val="24"/>
        </w:rPr>
      </w:pPr>
    </w:p>
    <w:p w14:paraId="25E56E72" w14:textId="77777777" w:rsidR="000E41F3" w:rsidRPr="00EE112C" w:rsidRDefault="00161126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 xml:space="preserve">1) </w:t>
      </w:r>
      <w:r w:rsidR="00FA677E" w:rsidRPr="00EE112C">
        <w:rPr>
          <w:rFonts w:ascii="Times New Roman" w:hAnsi="Times New Roman"/>
          <w:sz w:val="24"/>
          <w:szCs w:val="24"/>
        </w:rPr>
        <w:t xml:space="preserve">Votos vencidos </w:t>
      </w:r>
      <w:r w:rsidR="00D56A9A" w:rsidRPr="00EE112C">
        <w:rPr>
          <w:rFonts w:ascii="Times New Roman" w:hAnsi="Times New Roman"/>
          <w:sz w:val="24"/>
          <w:szCs w:val="24"/>
        </w:rPr>
        <w:t xml:space="preserve">em dois dos principais julgados referentes ao estudo de caso suscitaram reflexões sobre vantagens estratégicas dos litigantes habituais </w:t>
      </w:r>
      <w:r w:rsidR="00791503" w:rsidRPr="00EE112C">
        <w:rPr>
          <w:rFonts w:ascii="Times New Roman" w:hAnsi="Times New Roman"/>
          <w:sz w:val="24"/>
          <w:szCs w:val="24"/>
        </w:rPr>
        <w:t>em relação aos eventuais ao longo desta litigiosidade repetitiva</w:t>
      </w:r>
      <w:r w:rsidR="000E41F3" w:rsidRPr="00EE112C">
        <w:rPr>
          <w:rFonts w:ascii="Times New Roman" w:hAnsi="Times New Roman"/>
          <w:sz w:val="24"/>
          <w:szCs w:val="24"/>
        </w:rPr>
        <w:t>, bem como sobre a competência para julgamento destas ações</w:t>
      </w:r>
      <w:r w:rsidR="00791503" w:rsidRPr="00EE112C">
        <w:rPr>
          <w:rFonts w:ascii="Times New Roman" w:hAnsi="Times New Roman"/>
          <w:sz w:val="24"/>
          <w:szCs w:val="24"/>
        </w:rPr>
        <w:t xml:space="preserve">. </w:t>
      </w:r>
    </w:p>
    <w:p w14:paraId="6DCAD8E3" w14:textId="77777777" w:rsidR="000E41F3" w:rsidRPr="00EE112C" w:rsidRDefault="000E41F3" w:rsidP="00A071A6">
      <w:pPr>
        <w:jc w:val="both"/>
        <w:rPr>
          <w:rFonts w:ascii="Times New Roman" w:hAnsi="Times New Roman"/>
          <w:sz w:val="24"/>
          <w:szCs w:val="24"/>
        </w:rPr>
      </w:pPr>
    </w:p>
    <w:p w14:paraId="3E045E45" w14:textId="7FB2BA31" w:rsidR="00D23E3A" w:rsidRPr="00EE112C" w:rsidRDefault="00076040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>No Recurso Especial 911.802/RS</w:t>
      </w:r>
      <w:r w:rsidR="00791503" w:rsidRPr="00EE112C">
        <w:rPr>
          <w:rFonts w:ascii="Times New Roman" w:hAnsi="Times New Roman"/>
          <w:sz w:val="24"/>
          <w:szCs w:val="24"/>
        </w:rPr>
        <w:t xml:space="preserve">, </w:t>
      </w:r>
      <w:r w:rsidR="00D23E3A" w:rsidRPr="00EE112C">
        <w:rPr>
          <w:rFonts w:ascii="Times New Roman" w:hAnsi="Times New Roman"/>
          <w:sz w:val="24"/>
          <w:szCs w:val="24"/>
        </w:rPr>
        <w:t xml:space="preserve">o Ministro Herman Benjamin teceu importantes observações sobre a impropriedade de solucionar conflitos coletivos pela via da </w:t>
      </w:r>
      <w:proofErr w:type="spellStart"/>
      <w:r w:rsidR="00D23E3A" w:rsidRPr="00EE112C">
        <w:rPr>
          <w:rFonts w:ascii="Times New Roman" w:hAnsi="Times New Roman"/>
          <w:sz w:val="24"/>
          <w:szCs w:val="24"/>
        </w:rPr>
        <w:t>ação</w:t>
      </w:r>
      <w:proofErr w:type="spellEnd"/>
      <w:r w:rsidR="00D23E3A" w:rsidRPr="00EE112C">
        <w:rPr>
          <w:rFonts w:ascii="Times New Roman" w:hAnsi="Times New Roman"/>
          <w:sz w:val="24"/>
          <w:szCs w:val="24"/>
        </w:rPr>
        <w:t xml:space="preserve"> individual formadora de precedente, que tem por notas características a pujança do litigante habitual e sua maior capacidade de formação de jurisprudência favorável. O Ministro denominou essa situação de “perplexidade </w:t>
      </w:r>
      <w:proofErr w:type="spellStart"/>
      <w:r w:rsidR="00D23E3A" w:rsidRPr="00EE112C">
        <w:rPr>
          <w:rFonts w:ascii="Times New Roman" w:hAnsi="Times New Roman"/>
          <w:sz w:val="24"/>
          <w:szCs w:val="24"/>
        </w:rPr>
        <w:t>político-processual</w:t>
      </w:r>
      <w:proofErr w:type="spellEnd"/>
      <w:r w:rsidR="00D23E3A" w:rsidRPr="00EE112C">
        <w:rPr>
          <w:rFonts w:ascii="Times New Roman" w:hAnsi="Times New Roman"/>
          <w:sz w:val="24"/>
          <w:szCs w:val="24"/>
        </w:rPr>
        <w:t>”:</w:t>
      </w:r>
    </w:p>
    <w:p w14:paraId="48A13FAD" w14:textId="77777777" w:rsidR="00D23E3A" w:rsidRPr="00EE112C" w:rsidRDefault="00D23E3A" w:rsidP="00A071A6">
      <w:pPr>
        <w:jc w:val="both"/>
        <w:rPr>
          <w:rFonts w:ascii="Times New Roman" w:hAnsi="Times New Roman"/>
          <w:sz w:val="24"/>
          <w:szCs w:val="24"/>
        </w:rPr>
      </w:pPr>
    </w:p>
    <w:p w14:paraId="64B89758" w14:textId="77777777" w:rsidR="00076040" w:rsidRPr="00EE112C" w:rsidRDefault="00D23E3A" w:rsidP="00A071A6">
      <w:pPr>
        <w:pStyle w:val="Citao"/>
        <w:rPr>
          <w:rFonts w:cs="Times New Roman"/>
          <w:sz w:val="24"/>
          <w:szCs w:val="24"/>
          <w:lang w:val="pt-BR"/>
        </w:rPr>
      </w:pPr>
      <w:r w:rsidRPr="00EE112C">
        <w:rPr>
          <w:rFonts w:cs="Times New Roman"/>
          <w:sz w:val="24"/>
          <w:szCs w:val="24"/>
          <w:lang w:val="pt-BR"/>
        </w:rPr>
        <w:lastRenderedPageBreak/>
        <w:t xml:space="preserve">“[...] escolheu-se exatamente uma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individual, de uma contratante do Rio Grande do Sul, triplamente </w:t>
      </w:r>
      <w:proofErr w:type="spellStart"/>
      <w:r w:rsidRPr="00EE112C">
        <w:rPr>
          <w:rFonts w:cs="Times New Roman"/>
          <w:sz w:val="24"/>
          <w:szCs w:val="24"/>
          <w:lang w:val="pt-BR"/>
        </w:rPr>
        <w:t>vulnerável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na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acepção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do modelo constitucional </w:t>
      </w:r>
      <w:proofErr w:type="spellStart"/>
      <w:r w:rsidRPr="00EE112C">
        <w:rPr>
          <w:rFonts w:cs="Times New Roman"/>
          <w:sz w:val="24"/>
          <w:szCs w:val="24"/>
          <w:lang w:val="pt-BR"/>
        </w:rPr>
        <w:t>welfarista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de 1988 - consumidora, pobre e negra -, para se fixar o precedente uniformizador, mesmo sabendo-se da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existência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de </w:t>
      </w:r>
      <w:proofErr w:type="spellStart"/>
      <w:r w:rsidRPr="00EE112C">
        <w:rPr>
          <w:rFonts w:cs="Times New Roman"/>
          <w:sz w:val="24"/>
          <w:szCs w:val="24"/>
          <w:lang w:val="pt-BR"/>
        </w:rPr>
        <w:t>várias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ações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civis </w:t>
      </w:r>
      <w:proofErr w:type="spellStart"/>
      <w:r w:rsidRPr="00EE112C">
        <w:rPr>
          <w:rFonts w:cs="Times New Roman"/>
          <w:sz w:val="24"/>
          <w:szCs w:val="24"/>
          <w:lang w:val="pt-BR"/>
        </w:rPr>
        <w:t>públicas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, sobre a mesma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matéria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, que tramitam pelo </w:t>
      </w:r>
      <w:proofErr w:type="spellStart"/>
      <w:r w:rsidRPr="00EE112C">
        <w:rPr>
          <w:rFonts w:cs="Times New Roman"/>
          <w:sz w:val="24"/>
          <w:szCs w:val="24"/>
          <w:lang w:val="pt-BR"/>
        </w:rPr>
        <w:t>País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afora. Ou seja, inverteu-se 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lógica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do processo civil coletivo: em vez da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civil </w:t>
      </w:r>
      <w:proofErr w:type="spellStart"/>
      <w:r w:rsidRPr="00EE112C">
        <w:rPr>
          <w:rFonts w:cs="Times New Roman"/>
          <w:sz w:val="24"/>
          <w:szCs w:val="24"/>
          <w:lang w:val="pt-BR"/>
        </w:rPr>
        <w:t>pública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fazer coisa julgada </w:t>
      </w:r>
      <w:r w:rsidRPr="00EE112C">
        <w:rPr>
          <w:rFonts w:cs="Times New Roman"/>
          <w:i/>
          <w:sz w:val="24"/>
          <w:szCs w:val="24"/>
          <w:lang w:val="pt-BR"/>
        </w:rPr>
        <w:t>erga omnes</w:t>
      </w:r>
      <w:r w:rsidRPr="00EE112C">
        <w:rPr>
          <w:rFonts w:cs="Times New Roman"/>
          <w:sz w:val="24"/>
          <w:szCs w:val="24"/>
          <w:lang w:val="pt-BR"/>
        </w:rPr>
        <w:t xml:space="preserve">, é 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individual que, por um expediente interno do Tribunal, de natureza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pragmática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, de fato transforma-se, em </w:t>
      </w:r>
      <w:proofErr w:type="spellStart"/>
      <w:r w:rsidRPr="00EE112C">
        <w:rPr>
          <w:rFonts w:cs="Times New Roman"/>
          <w:sz w:val="24"/>
          <w:szCs w:val="24"/>
          <w:lang w:val="pt-BR"/>
        </w:rPr>
        <w:t>consequência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eficácia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uniformizadora da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decisão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colegiada, em instrumento de </w:t>
      </w:r>
      <w:proofErr w:type="spellStart"/>
      <w:r w:rsidRPr="00EE112C">
        <w:rPr>
          <w:rFonts w:cs="Times New Roman"/>
          <w:sz w:val="24"/>
          <w:szCs w:val="24"/>
          <w:lang w:val="pt-BR"/>
        </w:rPr>
        <w:t>solução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de conflitos coletivos e massificados.</w:t>
      </w:r>
    </w:p>
    <w:p w14:paraId="19EF75A0" w14:textId="1893016F" w:rsidR="00FA677E" w:rsidRPr="00EE112C" w:rsidRDefault="00D23E3A" w:rsidP="00A071A6">
      <w:pPr>
        <w:pStyle w:val="Citao"/>
        <w:rPr>
          <w:rFonts w:cs="Times New Roman"/>
          <w:sz w:val="24"/>
          <w:szCs w:val="24"/>
          <w:lang w:val="pt-BR"/>
        </w:rPr>
      </w:pPr>
      <w:proofErr w:type="spellStart"/>
      <w:r w:rsidRPr="00EE112C">
        <w:rPr>
          <w:rFonts w:cs="Times New Roman"/>
          <w:sz w:val="24"/>
          <w:szCs w:val="24"/>
          <w:lang w:val="pt-BR"/>
        </w:rPr>
        <w:t>Não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se resiste aqui à </w:t>
      </w:r>
      <w:proofErr w:type="spellStart"/>
      <w:r w:rsidRPr="00EE112C">
        <w:rPr>
          <w:rFonts w:cs="Times New Roman"/>
          <w:sz w:val="24"/>
          <w:szCs w:val="24"/>
          <w:lang w:val="pt-BR"/>
        </w:rPr>
        <w:t>tentação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de apontar o paradoxo. Enquanto o ordenamento </w:t>
      </w:r>
      <w:proofErr w:type="spellStart"/>
      <w:r w:rsidRPr="00EE112C">
        <w:rPr>
          <w:rFonts w:cs="Times New Roman"/>
          <w:sz w:val="24"/>
          <w:szCs w:val="24"/>
          <w:lang w:val="pt-BR"/>
        </w:rPr>
        <w:t>jurídico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nacional nega ao </w:t>
      </w:r>
      <w:proofErr w:type="spellStart"/>
      <w:r w:rsidRPr="00EE112C">
        <w:rPr>
          <w:rFonts w:cs="Times New Roman"/>
          <w:sz w:val="24"/>
          <w:szCs w:val="24"/>
          <w:lang w:val="pt-BR"/>
        </w:rPr>
        <w:t>consumidor-indivíduo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, sujeito </w:t>
      </w:r>
      <w:proofErr w:type="spellStart"/>
      <w:r w:rsidRPr="00EE112C">
        <w:rPr>
          <w:rFonts w:cs="Times New Roman"/>
          <w:sz w:val="24"/>
          <w:szCs w:val="24"/>
          <w:lang w:val="pt-BR"/>
        </w:rPr>
        <w:t>vulnerável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, </w:t>
      </w:r>
      <w:proofErr w:type="spellStart"/>
      <w:r w:rsidRPr="00EE112C">
        <w:rPr>
          <w:rFonts w:cs="Times New Roman"/>
          <w:sz w:val="24"/>
          <w:szCs w:val="24"/>
          <w:lang w:val="pt-BR"/>
        </w:rPr>
        <w:t>legitimação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para a propositura de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civil </w:t>
      </w:r>
      <w:proofErr w:type="spellStart"/>
      <w:r w:rsidRPr="00EE112C">
        <w:rPr>
          <w:rFonts w:cs="Times New Roman"/>
          <w:sz w:val="24"/>
          <w:szCs w:val="24"/>
          <w:lang w:val="pt-BR"/>
        </w:rPr>
        <w:t>pública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(Lei 7347/1985 e CDC), o STJ, pela porta dos fundos, aceita que uma demanda individual - ambiente </w:t>
      </w:r>
      <w:proofErr w:type="spellStart"/>
      <w:r w:rsidRPr="00EE112C">
        <w:rPr>
          <w:rFonts w:cs="Times New Roman"/>
          <w:sz w:val="24"/>
          <w:szCs w:val="24"/>
          <w:lang w:val="pt-BR"/>
        </w:rPr>
        <w:t>jurídico-processual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mais </w:t>
      </w:r>
      <w:proofErr w:type="spellStart"/>
      <w:r w:rsidRPr="00EE112C">
        <w:rPr>
          <w:rFonts w:cs="Times New Roman"/>
          <w:sz w:val="24"/>
          <w:szCs w:val="24"/>
          <w:lang w:val="pt-BR"/>
        </w:rPr>
        <w:t>favorável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à </w:t>
      </w:r>
      <w:proofErr w:type="spellStart"/>
      <w:r w:rsidRPr="00EE112C">
        <w:rPr>
          <w:rFonts w:cs="Times New Roman"/>
          <w:sz w:val="24"/>
          <w:szCs w:val="24"/>
          <w:lang w:val="pt-BR"/>
        </w:rPr>
        <w:t>prevalência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dos interesses do sujeito hiperpoderoso (</w:t>
      </w:r>
      <w:r w:rsidRPr="00EE112C">
        <w:rPr>
          <w:rFonts w:cs="Times New Roman"/>
          <w:i/>
          <w:sz w:val="24"/>
          <w:szCs w:val="24"/>
          <w:lang w:val="pt-BR"/>
        </w:rPr>
        <w:t xml:space="preserve">in </w:t>
      </w:r>
      <w:proofErr w:type="spellStart"/>
      <w:r w:rsidRPr="00EE112C">
        <w:rPr>
          <w:rFonts w:cs="Times New Roman"/>
          <w:i/>
          <w:sz w:val="24"/>
          <w:szCs w:val="24"/>
          <w:lang w:val="pt-BR"/>
        </w:rPr>
        <w:t>casu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o fornecedor de </w:t>
      </w:r>
      <w:proofErr w:type="spellStart"/>
      <w:r w:rsidRPr="00EE112C">
        <w:rPr>
          <w:rFonts w:cs="Times New Roman"/>
          <w:sz w:val="24"/>
          <w:szCs w:val="24"/>
          <w:lang w:val="pt-BR"/>
        </w:rPr>
        <w:t>serviço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de telefonia) - venha a cumprir o papel de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civil </w:t>
      </w:r>
      <w:proofErr w:type="spellStart"/>
      <w:r w:rsidRPr="00EE112C">
        <w:rPr>
          <w:rFonts w:cs="Times New Roman"/>
          <w:sz w:val="24"/>
          <w:szCs w:val="24"/>
          <w:lang w:val="pt-BR"/>
        </w:rPr>
        <w:t>pública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às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avessas, pois o provimento em favor da empresa servirá para matar na origem milhares de demandas assemelhadas - individuais e coletivas.”</w:t>
      </w:r>
    </w:p>
    <w:p w14:paraId="68954B76" w14:textId="77777777" w:rsidR="00AA6299" w:rsidRPr="00EE112C" w:rsidRDefault="00AA6299" w:rsidP="00A071A6">
      <w:pPr>
        <w:jc w:val="both"/>
        <w:rPr>
          <w:rFonts w:ascii="Times New Roman" w:hAnsi="Times New Roman"/>
          <w:sz w:val="24"/>
          <w:szCs w:val="24"/>
        </w:rPr>
      </w:pPr>
    </w:p>
    <w:p w14:paraId="12804A07" w14:textId="77777777" w:rsidR="00FA677E" w:rsidRPr="00EE112C" w:rsidRDefault="00FA677E" w:rsidP="00A071A6">
      <w:pPr>
        <w:jc w:val="both"/>
        <w:rPr>
          <w:rFonts w:ascii="Times New Roman" w:hAnsi="Times New Roman"/>
          <w:sz w:val="24"/>
          <w:szCs w:val="24"/>
        </w:rPr>
      </w:pPr>
    </w:p>
    <w:p w14:paraId="5EA4AC48" w14:textId="33C7A99A" w:rsidR="00FA677E" w:rsidRPr="00EE112C" w:rsidRDefault="009936BF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 xml:space="preserve">Já o </w:t>
      </w:r>
      <w:r w:rsidR="00A47EE4" w:rsidRPr="00EE112C">
        <w:rPr>
          <w:rFonts w:ascii="Times New Roman" w:hAnsi="Times New Roman"/>
          <w:sz w:val="24"/>
          <w:szCs w:val="24"/>
        </w:rPr>
        <w:t xml:space="preserve">Ministro Luiz </w:t>
      </w:r>
      <w:proofErr w:type="spellStart"/>
      <w:r w:rsidR="00A47EE4" w:rsidRPr="00EE112C">
        <w:rPr>
          <w:rFonts w:ascii="Times New Roman" w:hAnsi="Times New Roman"/>
          <w:sz w:val="24"/>
          <w:szCs w:val="24"/>
        </w:rPr>
        <w:t>Fux</w:t>
      </w:r>
      <w:proofErr w:type="spellEnd"/>
      <w:r w:rsidRPr="00EE112C">
        <w:rPr>
          <w:rFonts w:ascii="Times New Roman" w:hAnsi="Times New Roman"/>
          <w:sz w:val="24"/>
          <w:szCs w:val="24"/>
        </w:rPr>
        <w:t xml:space="preserve"> assim se manifestou (STJ, Conflito de Competência 47.731/DF): </w:t>
      </w:r>
    </w:p>
    <w:p w14:paraId="6E7239C5" w14:textId="77777777" w:rsidR="00D5566F" w:rsidRPr="00EE112C" w:rsidRDefault="00D5566F" w:rsidP="00A071A6">
      <w:pPr>
        <w:jc w:val="both"/>
        <w:rPr>
          <w:rFonts w:ascii="Times New Roman" w:hAnsi="Times New Roman"/>
          <w:sz w:val="24"/>
          <w:szCs w:val="24"/>
        </w:rPr>
      </w:pPr>
    </w:p>
    <w:p w14:paraId="2F1F1ED2" w14:textId="77777777" w:rsidR="00D5566F" w:rsidRPr="00EE112C" w:rsidRDefault="00D5566F" w:rsidP="00A071A6">
      <w:pPr>
        <w:pStyle w:val="Citao"/>
        <w:rPr>
          <w:rFonts w:cs="Times New Roman"/>
          <w:sz w:val="24"/>
          <w:szCs w:val="24"/>
          <w:lang w:val="pt-BR"/>
        </w:rPr>
      </w:pPr>
      <w:r w:rsidRPr="00EE112C">
        <w:rPr>
          <w:rFonts w:cs="Times New Roman"/>
          <w:sz w:val="24"/>
          <w:szCs w:val="24"/>
          <w:lang w:val="pt-BR"/>
        </w:rPr>
        <w:t xml:space="preserve">“A grande realidade é saber se podemos conviver com nossa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função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, tal como prevista na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Constituição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Federal, assistindo passivamente, chegarem aqui cem mil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ações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com </w:t>
      </w:r>
      <w:proofErr w:type="spellStart"/>
      <w:r w:rsidRPr="00EE112C">
        <w:rPr>
          <w:rFonts w:cs="Times New Roman"/>
          <w:sz w:val="24"/>
          <w:szCs w:val="24"/>
          <w:lang w:val="pt-BR"/>
        </w:rPr>
        <w:t>decisões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diferentes sobre a mesma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matéria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. Isso significa abdicar do dever de velar pela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cláusula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</w:t>
      </w:r>
      <w:proofErr w:type="spellStart"/>
      <w:r w:rsidRPr="00EE112C">
        <w:rPr>
          <w:rFonts w:cs="Times New Roman"/>
          <w:sz w:val="24"/>
          <w:szCs w:val="24"/>
          <w:lang w:val="pt-BR"/>
        </w:rPr>
        <w:t>máxima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</w:t>
      </w:r>
      <w:proofErr w:type="spellStart"/>
      <w:r w:rsidRPr="00EE112C">
        <w:rPr>
          <w:rFonts w:cs="Times New Roman"/>
          <w:sz w:val="24"/>
          <w:szCs w:val="24"/>
          <w:lang w:val="pt-BR"/>
        </w:rPr>
        <w:t>consectária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da tutela da dignidade da pessoa humana, que é a igualdade. Sabemos que um dos fatores que levou o Poder </w:t>
      </w:r>
      <w:proofErr w:type="spellStart"/>
      <w:r w:rsidRPr="00EE112C">
        <w:rPr>
          <w:rFonts w:cs="Times New Roman"/>
          <w:sz w:val="24"/>
          <w:szCs w:val="24"/>
          <w:lang w:val="pt-BR"/>
        </w:rPr>
        <w:t>Judiciário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a um profundo </w:t>
      </w:r>
      <w:proofErr w:type="spellStart"/>
      <w:r w:rsidRPr="00EE112C">
        <w:rPr>
          <w:rFonts w:cs="Times New Roman"/>
          <w:sz w:val="24"/>
          <w:szCs w:val="24"/>
          <w:lang w:val="pt-BR"/>
        </w:rPr>
        <w:t>descrédito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perante 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opinião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</w:t>
      </w:r>
      <w:proofErr w:type="spellStart"/>
      <w:r w:rsidRPr="00EE112C">
        <w:rPr>
          <w:rFonts w:cs="Times New Roman"/>
          <w:sz w:val="24"/>
          <w:szCs w:val="24"/>
          <w:lang w:val="pt-BR"/>
        </w:rPr>
        <w:t>pública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foi a falta de sintonia nas </w:t>
      </w:r>
      <w:proofErr w:type="spellStart"/>
      <w:r w:rsidRPr="00EE112C">
        <w:rPr>
          <w:rFonts w:cs="Times New Roman"/>
          <w:sz w:val="24"/>
          <w:szCs w:val="24"/>
          <w:lang w:val="pt-BR"/>
        </w:rPr>
        <w:t>decisões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. </w:t>
      </w:r>
      <w:proofErr w:type="gramStart"/>
      <w:r w:rsidRPr="00EE112C">
        <w:rPr>
          <w:rFonts w:cs="Times New Roman"/>
          <w:sz w:val="24"/>
          <w:szCs w:val="24"/>
          <w:lang w:val="pt-BR"/>
        </w:rPr>
        <w:t>[...] No</w:t>
      </w:r>
      <w:proofErr w:type="gramEnd"/>
      <w:r w:rsidRPr="00EE112C">
        <w:rPr>
          <w:rFonts w:cs="Times New Roman"/>
          <w:sz w:val="24"/>
          <w:szCs w:val="24"/>
          <w:lang w:val="pt-BR"/>
        </w:rPr>
        <w:t xml:space="preserve"> meu modo de ver, 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conexão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é </w:t>
      </w:r>
      <w:proofErr w:type="spellStart"/>
      <w:r w:rsidRPr="00EE112C">
        <w:rPr>
          <w:rFonts w:cs="Times New Roman"/>
          <w:sz w:val="24"/>
          <w:szCs w:val="24"/>
          <w:lang w:val="pt-BR"/>
        </w:rPr>
        <w:t>inegável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. </w:t>
      </w:r>
      <w:proofErr w:type="gramStart"/>
      <w:r w:rsidRPr="00EE112C">
        <w:rPr>
          <w:rFonts w:cs="Times New Roman"/>
          <w:sz w:val="24"/>
          <w:szCs w:val="24"/>
          <w:lang w:val="pt-BR"/>
        </w:rPr>
        <w:t>[...] Essas</w:t>
      </w:r>
      <w:proofErr w:type="gramEnd"/>
      <w:r w:rsidRPr="00EE112C">
        <w:rPr>
          <w:rFonts w:cs="Times New Roman"/>
          <w:sz w:val="24"/>
          <w:szCs w:val="24"/>
          <w:lang w:val="pt-BR"/>
        </w:rPr>
        <w:t xml:space="preserve">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ações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repetidas nos juizados especiais </w:t>
      </w:r>
      <w:proofErr w:type="spellStart"/>
      <w:r w:rsidRPr="00EE112C">
        <w:rPr>
          <w:rFonts w:cs="Times New Roman"/>
          <w:sz w:val="24"/>
          <w:szCs w:val="24"/>
          <w:lang w:val="pt-BR"/>
        </w:rPr>
        <w:t>estão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fazendo as vezes de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ações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coletivas de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altíssima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complexidade - vejam agora como estamos nos deparando com essa dificuldade toda - nos juizados especiais, que </w:t>
      </w:r>
      <w:proofErr w:type="spellStart"/>
      <w:r w:rsidRPr="00EE112C">
        <w:rPr>
          <w:rFonts w:cs="Times New Roman"/>
          <w:sz w:val="24"/>
          <w:szCs w:val="24"/>
          <w:lang w:val="pt-BR"/>
        </w:rPr>
        <w:t>não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</w:t>
      </w:r>
      <w:proofErr w:type="spellStart"/>
      <w:r w:rsidRPr="00EE112C">
        <w:rPr>
          <w:rFonts w:cs="Times New Roman"/>
          <w:sz w:val="24"/>
          <w:szCs w:val="24"/>
          <w:lang w:val="pt-BR"/>
        </w:rPr>
        <w:t>têm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a menor </w:t>
      </w:r>
      <w:proofErr w:type="spellStart"/>
      <w:r w:rsidRPr="00EE112C">
        <w:rPr>
          <w:rFonts w:cs="Times New Roman"/>
          <w:sz w:val="24"/>
          <w:szCs w:val="24"/>
          <w:lang w:val="pt-BR"/>
        </w:rPr>
        <w:t>competência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para julgar tais causas. Na verdade, é um simulacro de uma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individual. Esta é uma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coletiva, que versa e que interessa a todos. Uma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dessa tem gerado 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repetição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de </w:t>
      </w:r>
      <w:proofErr w:type="spellStart"/>
      <w:r w:rsidRPr="00EE112C">
        <w:rPr>
          <w:rFonts w:cs="Times New Roman"/>
          <w:sz w:val="24"/>
          <w:szCs w:val="24"/>
          <w:lang w:val="pt-BR"/>
        </w:rPr>
        <w:t>inúmeras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ações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. </w:t>
      </w:r>
      <w:proofErr w:type="gramStart"/>
      <w:r w:rsidRPr="00EE112C">
        <w:rPr>
          <w:rFonts w:cs="Times New Roman"/>
          <w:sz w:val="24"/>
          <w:szCs w:val="24"/>
          <w:lang w:val="pt-BR"/>
        </w:rPr>
        <w:t>[...] Diante</w:t>
      </w:r>
      <w:proofErr w:type="gramEnd"/>
      <w:r w:rsidRPr="00EE112C">
        <w:rPr>
          <w:rFonts w:cs="Times New Roman"/>
          <w:sz w:val="24"/>
          <w:szCs w:val="24"/>
          <w:lang w:val="pt-BR"/>
        </w:rPr>
        <w:t xml:space="preserve"> desse panorama, reformulando meu voto, </w:t>
      </w:r>
      <w:proofErr w:type="spellStart"/>
      <w:r w:rsidRPr="00EE112C">
        <w:rPr>
          <w:rFonts w:cs="Times New Roman"/>
          <w:sz w:val="24"/>
          <w:szCs w:val="24"/>
          <w:lang w:val="pt-BR"/>
        </w:rPr>
        <w:t>ja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́ que entendo que </w:t>
      </w:r>
      <w:proofErr w:type="spellStart"/>
      <w:r w:rsidRPr="00EE112C">
        <w:rPr>
          <w:rFonts w:cs="Times New Roman"/>
          <w:sz w:val="24"/>
          <w:szCs w:val="24"/>
          <w:lang w:val="pt-BR"/>
        </w:rPr>
        <w:t>não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podem permanecer nos juizados especiais, assento que a </w:t>
      </w:r>
      <w:proofErr w:type="spellStart"/>
      <w:r w:rsidRPr="00EE112C">
        <w:rPr>
          <w:rFonts w:cs="Times New Roman"/>
          <w:i/>
          <w:sz w:val="24"/>
          <w:szCs w:val="24"/>
          <w:lang w:val="pt-BR"/>
        </w:rPr>
        <w:t>ratio</w:t>
      </w:r>
      <w:proofErr w:type="spellEnd"/>
      <w:r w:rsidRPr="00EE112C">
        <w:rPr>
          <w:rFonts w:cs="Times New Roman"/>
          <w:i/>
          <w:sz w:val="24"/>
          <w:szCs w:val="24"/>
          <w:lang w:val="pt-BR"/>
        </w:rPr>
        <w:t xml:space="preserve"> </w:t>
      </w:r>
      <w:proofErr w:type="spellStart"/>
      <w:r w:rsidRPr="00EE112C">
        <w:rPr>
          <w:rFonts w:cs="Times New Roman"/>
          <w:i/>
          <w:sz w:val="24"/>
          <w:szCs w:val="24"/>
          <w:lang w:val="pt-BR"/>
        </w:rPr>
        <w:t>essendi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conexão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das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ações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coletivas é manter a uniformidade das </w:t>
      </w:r>
      <w:proofErr w:type="spellStart"/>
      <w:r w:rsidRPr="00EE112C">
        <w:rPr>
          <w:rFonts w:cs="Times New Roman"/>
          <w:sz w:val="24"/>
          <w:szCs w:val="24"/>
          <w:lang w:val="pt-BR"/>
        </w:rPr>
        <w:t>decisões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, do </w:t>
      </w:r>
      <w:proofErr w:type="spellStart"/>
      <w:r w:rsidRPr="00EE112C">
        <w:rPr>
          <w:rFonts w:cs="Times New Roman"/>
          <w:sz w:val="24"/>
          <w:szCs w:val="24"/>
          <w:lang w:val="pt-BR"/>
        </w:rPr>
        <w:t>contrário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, estaremos criando, com as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ações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coletivas, a possibilidade de </w:t>
      </w:r>
      <w:proofErr w:type="spellStart"/>
      <w:r w:rsidRPr="00EE112C">
        <w:rPr>
          <w:rFonts w:cs="Times New Roman"/>
          <w:sz w:val="24"/>
          <w:szCs w:val="24"/>
          <w:lang w:val="pt-BR"/>
        </w:rPr>
        <w:t>decisões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</w:t>
      </w:r>
      <w:proofErr w:type="spellStart"/>
      <w:r w:rsidRPr="00EE112C">
        <w:rPr>
          <w:rFonts w:cs="Times New Roman"/>
          <w:sz w:val="24"/>
          <w:szCs w:val="24"/>
          <w:lang w:val="pt-BR"/>
        </w:rPr>
        <w:t>contraditórias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, isto é, estamos indo na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contramão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da finalidade do instituto. Sugiro que todas as </w:t>
      </w:r>
      <w:proofErr w:type="spellStart"/>
      <w:r w:rsidRPr="00EE112C">
        <w:rPr>
          <w:rFonts w:cs="Times New Roman"/>
          <w:sz w:val="24"/>
          <w:szCs w:val="24"/>
          <w:lang w:val="pt-BR"/>
        </w:rPr>
        <w:t>ações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sejam reunidas no </w:t>
      </w:r>
      <w:proofErr w:type="spellStart"/>
      <w:r w:rsidRPr="00EE112C">
        <w:rPr>
          <w:rFonts w:cs="Times New Roman"/>
          <w:sz w:val="24"/>
          <w:szCs w:val="24"/>
          <w:lang w:val="pt-BR"/>
        </w:rPr>
        <w:t>juízo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federal </w:t>
      </w:r>
      <w:r w:rsidRPr="00EE112C">
        <w:rPr>
          <w:rFonts w:cs="Times New Roman"/>
          <w:sz w:val="24"/>
          <w:szCs w:val="24"/>
          <w:lang w:val="pt-BR"/>
        </w:rPr>
        <w:lastRenderedPageBreak/>
        <w:t xml:space="preserve">para uma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decisão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</w:t>
      </w:r>
      <w:proofErr w:type="spellStart"/>
      <w:r w:rsidRPr="00EE112C">
        <w:rPr>
          <w:rFonts w:cs="Times New Roman"/>
          <w:sz w:val="24"/>
          <w:szCs w:val="24"/>
          <w:lang w:val="pt-BR"/>
        </w:rPr>
        <w:t>única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, porque, mesmo aquela primeira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solução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de grupos ficarem em locais diferentes, gera a possibilidade de essas </w:t>
      </w:r>
      <w:proofErr w:type="spellStart"/>
      <w:r w:rsidRPr="00EE112C">
        <w:rPr>
          <w:rFonts w:cs="Times New Roman"/>
          <w:sz w:val="24"/>
          <w:szCs w:val="24"/>
          <w:lang w:val="pt-BR"/>
        </w:rPr>
        <w:t>decisões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serem </w:t>
      </w:r>
      <w:proofErr w:type="spellStart"/>
      <w:r w:rsidRPr="00EE112C">
        <w:rPr>
          <w:rFonts w:cs="Times New Roman"/>
          <w:sz w:val="24"/>
          <w:szCs w:val="24"/>
          <w:lang w:val="pt-BR"/>
        </w:rPr>
        <w:t>contraditórias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nesses grupos. Essa é 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complementação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da minha </w:t>
      </w:r>
      <w:proofErr w:type="spellStart"/>
      <w:r w:rsidRPr="00EE112C">
        <w:rPr>
          <w:rFonts w:cs="Times New Roman"/>
          <w:sz w:val="24"/>
          <w:szCs w:val="24"/>
          <w:lang w:val="pt-BR"/>
        </w:rPr>
        <w:t>sugestão</w:t>
      </w:r>
      <w:proofErr w:type="spellEnd"/>
      <w:r w:rsidRPr="00EE112C">
        <w:rPr>
          <w:rFonts w:cs="Times New Roman"/>
          <w:sz w:val="24"/>
          <w:szCs w:val="24"/>
          <w:lang w:val="pt-BR"/>
        </w:rPr>
        <w:t xml:space="preserve"> de </w:t>
      </w:r>
      <w:proofErr w:type="gramStart"/>
      <w:r w:rsidRPr="00EE112C">
        <w:rPr>
          <w:rFonts w:cs="Times New Roman"/>
          <w:sz w:val="24"/>
          <w:szCs w:val="24"/>
          <w:lang w:val="pt-BR"/>
        </w:rPr>
        <w:t>voto.”</w:t>
      </w:r>
      <w:proofErr w:type="gramEnd"/>
    </w:p>
    <w:p w14:paraId="57EE39A0" w14:textId="77777777" w:rsidR="00AB747C" w:rsidRPr="00EE112C" w:rsidRDefault="00AB747C" w:rsidP="00A071A6">
      <w:pPr>
        <w:jc w:val="both"/>
        <w:rPr>
          <w:rFonts w:ascii="Times New Roman" w:hAnsi="Times New Roman"/>
          <w:sz w:val="24"/>
          <w:szCs w:val="24"/>
        </w:rPr>
      </w:pPr>
    </w:p>
    <w:p w14:paraId="69259912" w14:textId="77777777" w:rsidR="00962E8E" w:rsidRPr="00EE112C" w:rsidRDefault="00136405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>O estudo de caso retrata uma litigiosidade típica d</w:t>
      </w:r>
      <w:r w:rsidR="00911400" w:rsidRPr="00EE112C">
        <w:rPr>
          <w:rFonts w:ascii="Times New Roman" w:hAnsi="Times New Roman"/>
          <w:sz w:val="24"/>
          <w:szCs w:val="24"/>
        </w:rPr>
        <w:t>o</w:t>
      </w:r>
      <w:r w:rsidRPr="00EE112C">
        <w:rPr>
          <w:rFonts w:ascii="Times New Roman" w:hAnsi="Times New Roman"/>
          <w:sz w:val="24"/>
          <w:szCs w:val="24"/>
        </w:rPr>
        <w:t xml:space="preserve"> setor </w:t>
      </w:r>
      <w:r w:rsidR="00911400" w:rsidRPr="00EE112C">
        <w:rPr>
          <w:rFonts w:ascii="Times New Roman" w:hAnsi="Times New Roman"/>
          <w:sz w:val="24"/>
          <w:szCs w:val="24"/>
        </w:rPr>
        <w:t xml:space="preserve">de telecomunicações </w:t>
      </w:r>
      <w:r w:rsidRPr="00EE112C">
        <w:rPr>
          <w:rFonts w:ascii="Times New Roman" w:hAnsi="Times New Roman"/>
          <w:sz w:val="24"/>
          <w:szCs w:val="24"/>
        </w:rPr>
        <w:t xml:space="preserve">que, como tal, poderia se repetir, tanto nesse mesmo setor como um outro </w:t>
      </w:r>
      <w:r w:rsidR="00911400" w:rsidRPr="00EE112C">
        <w:rPr>
          <w:rFonts w:ascii="Times New Roman" w:hAnsi="Times New Roman"/>
          <w:sz w:val="24"/>
          <w:szCs w:val="24"/>
        </w:rPr>
        <w:t xml:space="preserve">sujeito à regulação estatal. </w:t>
      </w:r>
    </w:p>
    <w:p w14:paraId="626E4198" w14:textId="77777777" w:rsidR="00962E8E" w:rsidRPr="00EE112C" w:rsidRDefault="00962E8E" w:rsidP="00A071A6">
      <w:pPr>
        <w:jc w:val="both"/>
        <w:rPr>
          <w:rFonts w:ascii="Times New Roman" w:hAnsi="Times New Roman"/>
          <w:sz w:val="24"/>
          <w:szCs w:val="24"/>
        </w:rPr>
      </w:pPr>
    </w:p>
    <w:p w14:paraId="3AD7604D" w14:textId="76AD870E" w:rsidR="00AB747C" w:rsidRPr="00EE112C" w:rsidRDefault="00962E8E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 xml:space="preserve">Proposta de trabalho: reflexão sobre </w:t>
      </w:r>
      <w:r w:rsidR="00813869" w:rsidRPr="00EE112C">
        <w:rPr>
          <w:rFonts w:ascii="Times New Roman" w:hAnsi="Times New Roman"/>
          <w:sz w:val="24"/>
          <w:szCs w:val="24"/>
        </w:rPr>
        <w:t xml:space="preserve">(i) </w:t>
      </w:r>
      <w:r w:rsidRPr="00EE112C">
        <w:rPr>
          <w:rFonts w:ascii="Times New Roman" w:hAnsi="Times New Roman"/>
          <w:sz w:val="24"/>
          <w:szCs w:val="24"/>
        </w:rPr>
        <w:t>conexão</w:t>
      </w:r>
      <w:r w:rsidR="00813869" w:rsidRPr="00EE112C">
        <w:rPr>
          <w:rFonts w:ascii="Times New Roman" w:hAnsi="Times New Roman"/>
          <w:sz w:val="24"/>
          <w:szCs w:val="24"/>
        </w:rPr>
        <w:t xml:space="preserve"> </w:t>
      </w:r>
      <w:r w:rsidR="000F12C4" w:rsidRPr="00EE112C">
        <w:rPr>
          <w:rFonts w:ascii="Times New Roman" w:hAnsi="Times New Roman"/>
          <w:sz w:val="24"/>
          <w:szCs w:val="24"/>
        </w:rPr>
        <w:t>entre</w:t>
      </w:r>
      <w:r w:rsidRPr="00EE112C">
        <w:rPr>
          <w:rFonts w:ascii="Times New Roman" w:hAnsi="Times New Roman"/>
          <w:sz w:val="24"/>
          <w:szCs w:val="24"/>
        </w:rPr>
        <w:t xml:space="preserve"> processos </w:t>
      </w:r>
      <w:r w:rsidR="000F12C4" w:rsidRPr="00EE112C">
        <w:rPr>
          <w:rFonts w:ascii="Times New Roman" w:hAnsi="Times New Roman"/>
          <w:sz w:val="24"/>
          <w:szCs w:val="24"/>
        </w:rPr>
        <w:t>individuais</w:t>
      </w:r>
      <w:r w:rsidR="00F42EB5" w:rsidRPr="00EE112C">
        <w:rPr>
          <w:rFonts w:ascii="Times New Roman" w:hAnsi="Times New Roman"/>
          <w:sz w:val="24"/>
          <w:szCs w:val="24"/>
        </w:rPr>
        <w:t>, inclusive de juizados especiais,</w:t>
      </w:r>
      <w:r w:rsidR="000F12C4" w:rsidRPr="00EE112C">
        <w:rPr>
          <w:rFonts w:ascii="Times New Roman" w:hAnsi="Times New Roman"/>
          <w:sz w:val="24"/>
          <w:szCs w:val="24"/>
        </w:rPr>
        <w:t xml:space="preserve"> e </w:t>
      </w:r>
      <w:r w:rsidR="00F42EB5" w:rsidRPr="00EE112C">
        <w:rPr>
          <w:rFonts w:ascii="Times New Roman" w:hAnsi="Times New Roman"/>
          <w:sz w:val="24"/>
          <w:szCs w:val="24"/>
        </w:rPr>
        <w:t xml:space="preserve">ações </w:t>
      </w:r>
      <w:r w:rsidRPr="00EE112C">
        <w:rPr>
          <w:rFonts w:ascii="Times New Roman" w:hAnsi="Times New Roman"/>
          <w:sz w:val="24"/>
          <w:szCs w:val="24"/>
        </w:rPr>
        <w:t>coletiv</w:t>
      </w:r>
      <w:r w:rsidR="00813869" w:rsidRPr="00EE112C">
        <w:rPr>
          <w:rFonts w:ascii="Times New Roman" w:hAnsi="Times New Roman"/>
          <w:sz w:val="24"/>
          <w:szCs w:val="24"/>
        </w:rPr>
        <w:t>as; (</w:t>
      </w:r>
      <w:proofErr w:type="spellStart"/>
      <w:r w:rsidR="00813869" w:rsidRPr="00EE112C">
        <w:rPr>
          <w:rFonts w:ascii="Times New Roman" w:hAnsi="Times New Roman"/>
          <w:sz w:val="24"/>
          <w:szCs w:val="24"/>
        </w:rPr>
        <w:t>ii</w:t>
      </w:r>
      <w:proofErr w:type="spellEnd"/>
      <w:r w:rsidR="00813869" w:rsidRPr="00EE112C">
        <w:rPr>
          <w:rFonts w:ascii="Times New Roman" w:hAnsi="Times New Roman"/>
          <w:sz w:val="24"/>
          <w:szCs w:val="24"/>
        </w:rPr>
        <w:t>) competência</w:t>
      </w:r>
      <w:r w:rsidR="00C273BC" w:rsidRPr="00EE112C">
        <w:rPr>
          <w:rFonts w:ascii="Times New Roman" w:hAnsi="Times New Roman"/>
          <w:sz w:val="24"/>
          <w:szCs w:val="24"/>
        </w:rPr>
        <w:t xml:space="preserve"> jurisdicional, (</w:t>
      </w:r>
      <w:proofErr w:type="spellStart"/>
      <w:r w:rsidR="00C273BC" w:rsidRPr="00EE112C">
        <w:rPr>
          <w:rFonts w:ascii="Times New Roman" w:hAnsi="Times New Roman"/>
          <w:sz w:val="24"/>
          <w:szCs w:val="24"/>
        </w:rPr>
        <w:t>iii</w:t>
      </w:r>
      <w:proofErr w:type="spellEnd"/>
      <w:r w:rsidR="00C273BC" w:rsidRPr="00EE112C">
        <w:rPr>
          <w:rFonts w:ascii="Times New Roman" w:hAnsi="Times New Roman"/>
          <w:sz w:val="24"/>
          <w:szCs w:val="24"/>
        </w:rPr>
        <w:t>)</w:t>
      </w:r>
      <w:r w:rsidR="00813869" w:rsidRPr="00EE112C">
        <w:rPr>
          <w:rFonts w:ascii="Times New Roman" w:hAnsi="Times New Roman"/>
          <w:sz w:val="24"/>
          <w:szCs w:val="24"/>
        </w:rPr>
        <w:t xml:space="preserve"> participação do órgão regulador</w:t>
      </w:r>
      <w:r w:rsidR="00C273BC" w:rsidRPr="00EE112C">
        <w:rPr>
          <w:rFonts w:ascii="Times New Roman" w:hAnsi="Times New Roman"/>
          <w:sz w:val="24"/>
          <w:szCs w:val="24"/>
        </w:rPr>
        <w:t>; (</w:t>
      </w:r>
      <w:proofErr w:type="spellStart"/>
      <w:r w:rsidR="00C273BC" w:rsidRPr="00EE112C">
        <w:rPr>
          <w:rFonts w:ascii="Times New Roman" w:hAnsi="Times New Roman"/>
          <w:sz w:val="24"/>
          <w:szCs w:val="24"/>
        </w:rPr>
        <w:t>iv</w:t>
      </w:r>
      <w:proofErr w:type="spellEnd"/>
      <w:r w:rsidR="00C273BC" w:rsidRPr="00EE112C">
        <w:rPr>
          <w:rFonts w:ascii="Times New Roman" w:hAnsi="Times New Roman"/>
          <w:sz w:val="24"/>
          <w:szCs w:val="24"/>
        </w:rPr>
        <w:t xml:space="preserve">) estratégias para evitar a consumação de tais perplexidades jurídico-processuais em novas litigiosidades que venham a se repetir. </w:t>
      </w:r>
    </w:p>
    <w:p w14:paraId="73963C04" w14:textId="77777777" w:rsidR="008C1D2D" w:rsidRPr="00EE112C" w:rsidRDefault="008C1D2D" w:rsidP="00A071A6">
      <w:pPr>
        <w:jc w:val="both"/>
        <w:rPr>
          <w:rFonts w:ascii="Times New Roman" w:hAnsi="Times New Roman"/>
          <w:sz w:val="24"/>
          <w:szCs w:val="24"/>
        </w:rPr>
      </w:pPr>
    </w:p>
    <w:p w14:paraId="599A8310" w14:textId="7633AE7F" w:rsidR="00E2560E" w:rsidRPr="00EE112C" w:rsidRDefault="005A1A9B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 xml:space="preserve">2) </w:t>
      </w:r>
      <w:r w:rsidR="003169F8" w:rsidRPr="00EE112C">
        <w:rPr>
          <w:rFonts w:ascii="Times New Roman" w:hAnsi="Times New Roman"/>
          <w:sz w:val="24"/>
          <w:szCs w:val="24"/>
        </w:rPr>
        <w:t>O estudo do caso também revela que, não obstante a previsão legal de publicação de edital em órgão oficial para fins de conhecimento de terceiros acerca da existência da ação coletiva,</w:t>
      </w:r>
      <w:r w:rsidR="003169F8" w:rsidRPr="00EE112C">
        <w:rPr>
          <w:rStyle w:val="Refdenotaderodap"/>
          <w:rFonts w:cs="Times New Roman"/>
          <w:sz w:val="24"/>
          <w:szCs w:val="24"/>
        </w:rPr>
        <w:footnoteReference w:id="1"/>
      </w:r>
      <w:r w:rsidR="003169F8" w:rsidRPr="00EE112C">
        <w:rPr>
          <w:rFonts w:ascii="Times New Roman" w:hAnsi="Times New Roman"/>
          <w:sz w:val="24"/>
          <w:szCs w:val="24"/>
        </w:rPr>
        <w:t xml:space="preserve"> a publicidade dada às ações coletivas não foi suficiente para que os interessados pudessem delas participar e se beneficiar quando ainda em trâmite. Contraditoriamente, às ações individuais foi dado o devido destaque: o estudo de caso revela que advogados envolvidos neste contencioso deram ampla publicidade às ações individuais, que foram veiculadas inclusive pelo rádio.</w:t>
      </w:r>
      <w:r w:rsidR="003169F8" w:rsidRPr="00EE112C">
        <w:rPr>
          <w:rStyle w:val="Refdenotaderodap"/>
          <w:rFonts w:cs="Times New Roman"/>
          <w:sz w:val="24"/>
          <w:szCs w:val="24"/>
        </w:rPr>
        <w:footnoteReference w:id="2"/>
      </w:r>
      <w:r w:rsidR="003169F8" w:rsidRPr="00EE112C">
        <w:rPr>
          <w:rFonts w:ascii="Times New Roman" w:hAnsi="Times New Roman"/>
          <w:sz w:val="24"/>
          <w:szCs w:val="24"/>
        </w:rPr>
        <w:t xml:space="preserve"> </w:t>
      </w:r>
    </w:p>
    <w:p w14:paraId="17A2DCE0" w14:textId="77777777" w:rsidR="00E2560E" w:rsidRPr="00EE112C" w:rsidRDefault="00E2560E" w:rsidP="00A071A6">
      <w:pPr>
        <w:jc w:val="both"/>
        <w:rPr>
          <w:rFonts w:ascii="Times New Roman" w:hAnsi="Times New Roman"/>
          <w:sz w:val="24"/>
          <w:szCs w:val="24"/>
        </w:rPr>
      </w:pPr>
    </w:p>
    <w:p w14:paraId="5E002B9B" w14:textId="77777777" w:rsidR="000D2166" w:rsidRPr="00EE112C" w:rsidRDefault="000D2166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>Em termos de divulgação, no EC1, constatou-se a falta de dados sobre as ações coletivas até mesmo dentro das próprias organizações que estavam atuando no polo ativo.</w:t>
      </w:r>
      <w:r w:rsidRPr="00EE112C">
        <w:rPr>
          <w:rStyle w:val="Refdenotaderodap"/>
          <w:rFonts w:cs="Times New Roman"/>
          <w:sz w:val="24"/>
          <w:szCs w:val="24"/>
        </w:rPr>
        <w:footnoteReference w:id="3"/>
      </w:r>
      <w:r w:rsidRPr="00EE112C">
        <w:rPr>
          <w:rFonts w:ascii="Times New Roman" w:hAnsi="Times New Roman"/>
          <w:sz w:val="24"/>
          <w:szCs w:val="24"/>
        </w:rPr>
        <w:t xml:space="preserve"> Também não existiam cadastros oficiais que permitissem o conhecimento e a consulta das ações coletivas pelos eventuais interessados, o que dificulta a participação e o aproveitamento de seu resultado pelos interessados, além de contribuir para o ingresso multitudinário de ações individuais. </w:t>
      </w:r>
    </w:p>
    <w:p w14:paraId="0FCC069A" w14:textId="77777777" w:rsidR="00A1205C" w:rsidRPr="00EE112C" w:rsidRDefault="00A1205C" w:rsidP="00A071A6">
      <w:pPr>
        <w:jc w:val="both"/>
        <w:rPr>
          <w:rFonts w:ascii="Times New Roman" w:hAnsi="Times New Roman"/>
          <w:sz w:val="24"/>
          <w:szCs w:val="24"/>
        </w:rPr>
      </w:pPr>
    </w:p>
    <w:p w14:paraId="4795B5EB" w14:textId="77777777" w:rsidR="000D2166" w:rsidRPr="00EE112C" w:rsidRDefault="000D2166" w:rsidP="00A071A6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 xml:space="preserve">Deve-se ressaltar que atualmente já existe </w:t>
      </w:r>
      <w:r w:rsidRPr="00EE112C">
        <w:rPr>
          <w:rFonts w:ascii="Times New Roman" w:eastAsia="Times New Roman" w:hAnsi="Times New Roman"/>
          <w:sz w:val="24"/>
          <w:szCs w:val="24"/>
        </w:rPr>
        <w:t>o Cadastro Nacional de Ações Coletivas, previsto na Resolução Conjunta 2/2011 do CNJ e do CNMP. Referido cadastro, porém, não tem sido alimentado com os dados que possibilitariam sua utilização a contento.</w:t>
      </w:r>
    </w:p>
    <w:p w14:paraId="1DA668F0" w14:textId="77777777" w:rsidR="00A1205C" w:rsidRPr="00EE112C" w:rsidRDefault="00A1205C" w:rsidP="00A071A6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14147D9B" w14:textId="75887A62" w:rsidR="00A1205C" w:rsidRPr="00EE112C" w:rsidRDefault="00A1205C" w:rsidP="00A071A6">
      <w:pPr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EE112C">
        <w:rPr>
          <w:rFonts w:ascii="Times New Roman" w:hAnsi="Times New Roman"/>
          <w:sz w:val="24"/>
          <w:szCs w:val="24"/>
        </w:rPr>
        <w:t>O avanço tecnológico, com as facilidades de comunicação trazidas pela internet e pela existência do processo digital, além de diversos canais de relacionamento utilizados pelas grandes organizações burocráticas, também possibilitam</w:t>
      </w:r>
      <w:proofErr w:type="gramEnd"/>
      <w:r w:rsidRPr="00EE112C">
        <w:rPr>
          <w:rFonts w:ascii="Times New Roman" w:hAnsi="Times New Roman"/>
          <w:sz w:val="24"/>
          <w:szCs w:val="24"/>
        </w:rPr>
        <w:t xml:space="preserve"> que a notificação seja individualizada em relação aos potenciais interessados no desfecho da ação coletiva.</w:t>
      </w:r>
    </w:p>
    <w:p w14:paraId="5570E5B1" w14:textId="77777777" w:rsidR="00955104" w:rsidRPr="00EE112C" w:rsidRDefault="00955104" w:rsidP="00A071A6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672891AA" w14:textId="0B66464B" w:rsidR="00955104" w:rsidRPr="00EE112C" w:rsidRDefault="002626F7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eastAsia="Times New Roman" w:hAnsi="Times New Roman"/>
          <w:sz w:val="24"/>
          <w:szCs w:val="24"/>
        </w:rPr>
        <w:t>2</w:t>
      </w:r>
      <w:r w:rsidR="006805FD" w:rsidRPr="00EE112C">
        <w:rPr>
          <w:rFonts w:ascii="Times New Roman" w:eastAsia="Times New Roman" w:hAnsi="Times New Roman"/>
          <w:sz w:val="24"/>
          <w:szCs w:val="24"/>
        </w:rPr>
        <w:t xml:space="preserve">.a) </w:t>
      </w:r>
      <w:r w:rsidR="00955104" w:rsidRPr="00EE112C">
        <w:rPr>
          <w:rFonts w:ascii="Times New Roman" w:eastAsia="Times New Roman" w:hAnsi="Times New Roman"/>
          <w:sz w:val="24"/>
          <w:szCs w:val="24"/>
        </w:rPr>
        <w:t xml:space="preserve">Proposta: </w:t>
      </w:r>
      <w:r w:rsidRPr="00EE112C">
        <w:rPr>
          <w:rFonts w:ascii="Times New Roman" w:eastAsia="Times New Roman" w:hAnsi="Times New Roman"/>
          <w:sz w:val="24"/>
          <w:szCs w:val="24"/>
        </w:rPr>
        <w:t>R</w:t>
      </w:r>
      <w:r w:rsidR="00955104" w:rsidRPr="00EE112C">
        <w:rPr>
          <w:rFonts w:ascii="Times New Roman" w:eastAsia="Times New Roman" w:hAnsi="Times New Roman"/>
          <w:sz w:val="24"/>
          <w:szCs w:val="24"/>
        </w:rPr>
        <w:t>efletir se o Poder Judiciário pode aprimorar sua relação com a mídia e a qualidade da divulgação</w:t>
      </w:r>
      <w:r w:rsidR="006805FD" w:rsidRPr="00EE112C">
        <w:rPr>
          <w:rFonts w:ascii="Times New Roman" w:eastAsia="Times New Roman" w:hAnsi="Times New Roman"/>
          <w:sz w:val="24"/>
          <w:szCs w:val="24"/>
        </w:rPr>
        <w:t xml:space="preserve"> das ações coletivas em âmbito naciona</w:t>
      </w:r>
      <w:r w:rsidR="009D713D" w:rsidRPr="00EE112C">
        <w:rPr>
          <w:rFonts w:ascii="Times New Roman" w:eastAsia="Times New Roman" w:hAnsi="Times New Roman"/>
          <w:sz w:val="24"/>
          <w:szCs w:val="24"/>
        </w:rPr>
        <w:t xml:space="preserve">l, bem como sobre pode se </w:t>
      </w:r>
      <w:r w:rsidR="009D713D" w:rsidRPr="00EE112C">
        <w:rPr>
          <w:rFonts w:ascii="Times New Roman" w:eastAsia="Times New Roman" w:hAnsi="Times New Roman"/>
          <w:sz w:val="24"/>
          <w:szCs w:val="24"/>
        </w:rPr>
        <w:lastRenderedPageBreak/>
        <w:t xml:space="preserve">concretizar a notificação dos interessados numa determinada ação coletiva, e quem deve arcar com </w:t>
      </w:r>
      <w:proofErr w:type="gramStart"/>
      <w:r w:rsidR="009D713D" w:rsidRPr="00EE112C">
        <w:rPr>
          <w:rFonts w:ascii="Times New Roman" w:eastAsia="Times New Roman" w:hAnsi="Times New Roman"/>
          <w:sz w:val="24"/>
          <w:szCs w:val="24"/>
        </w:rPr>
        <w:t>essa custo</w:t>
      </w:r>
      <w:proofErr w:type="gramEnd"/>
      <w:r w:rsidR="009D713D" w:rsidRPr="00EE112C">
        <w:rPr>
          <w:rFonts w:ascii="Times New Roman" w:eastAsia="Times New Roman" w:hAnsi="Times New Roman"/>
          <w:sz w:val="24"/>
          <w:szCs w:val="24"/>
        </w:rPr>
        <w:t>.</w:t>
      </w:r>
    </w:p>
    <w:p w14:paraId="1A6902D9" w14:textId="77777777" w:rsidR="00E2560E" w:rsidRPr="00EE112C" w:rsidRDefault="00E2560E" w:rsidP="00A071A6">
      <w:pPr>
        <w:jc w:val="both"/>
        <w:rPr>
          <w:rFonts w:ascii="Times New Roman" w:hAnsi="Times New Roman"/>
          <w:sz w:val="24"/>
          <w:szCs w:val="24"/>
        </w:rPr>
      </w:pPr>
    </w:p>
    <w:p w14:paraId="499EFB60" w14:textId="1B7A6222" w:rsidR="003169F8" w:rsidRPr="00EE112C" w:rsidRDefault="002626F7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>2</w:t>
      </w:r>
      <w:r w:rsidR="006805FD" w:rsidRPr="00EE112C">
        <w:rPr>
          <w:rFonts w:ascii="Times New Roman" w:hAnsi="Times New Roman"/>
          <w:sz w:val="24"/>
          <w:szCs w:val="24"/>
        </w:rPr>
        <w:t xml:space="preserve">.b) </w:t>
      </w:r>
      <w:r w:rsidR="009144EA" w:rsidRPr="00EE112C">
        <w:rPr>
          <w:rFonts w:ascii="Times New Roman" w:hAnsi="Times New Roman"/>
          <w:sz w:val="24"/>
          <w:szCs w:val="24"/>
        </w:rPr>
        <w:t xml:space="preserve">A diferença de divulgação pelos advogados </w:t>
      </w:r>
      <w:r w:rsidR="003169F8" w:rsidRPr="00EE112C">
        <w:rPr>
          <w:rFonts w:ascii="Times New Roman" w:hAnsi="Times New Roman"/>
          <w:sz w:val="24"/>
          <w:szCs w:val="24"/>
        </w:rPr>
        <w:t>chama a atenção para a diferença de incentivos financeiros entre as ações individuais, nas quais os honorários advocatícios são fixados em prol do vencedor a cada uma das causas ganhas, e as ações coletivas, nas quais não há parâmetros para a fixação dos honorários advocatícios e nem uma tradição clara de premiação dos advogados vitoriosos em ações coletivas por meio de honorários advocatícios substanciosos.</w:t>
      </w:r>
    </w:p>
    <w:p w14:paraId="731E62B8" w14:textId="77777777" w:rsidR="009144EA" w:rsidRPr="00EE112C" w:rsidRDefault="009144EA" w:rsidP="00A071A6">
      <w:pPr>
        <w:jc w:val="both"/>
        <w:rPr>
          <w:rFonts w:ascii="Times New Roman" w:hAnsi="Times New Roman"/>
          <w:sz w:val="24"/>
          <w:szCs w:val="24"/>
        </w:rPr>
      </w:pPr>
    </w:p>
    <w:p w14:paraId="6FBE2CAB" w14:textId="77777777" w:rsidR="009144EA" w:rsidRPr="00EE112C" w:rsidRDefault="009144EA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 xml:space="preserve">Proposta: Refletir sobre como aprimorar </w:t>
      </w:r>
      <w:r w:rsidR="00AC59D2" w:rsidRPr="00EE112C">
        <w:rPr>
          <w:rFonts w:ascii="Times New Roman" w:hAnsi="Times New Roman"/>
          <w:sz w:val="24"/>
          <w:szCs w:val="24"/>
        </w:rPr>
        <w:t>os parâmetros para fixação de honorários e se é possível consolidar por via jurisprudencial/institucional tais parâmetros.</w:t>
      </w:r>
    </w:p>
    <w:p w14:paraId="7A230AA9" w14:textId="77777777" w:rsidR="00A22E3E" w:rsidRPr="00EE112C" w:rsidRDefault="00A22E3E" w:rsidP="00A071A6">
      <w:pPr>
        <w:jc w:val="both"/>
        <w:rPr>
          <w:rFonts w:ascii="Times New Roman" w:hAnsi="Times New Roman"/>
          <w:sz w:val="24"/>
          <w:szCs w:val="24"/>
        </w:rPr>
      </w:pPr>
    </w:p>
    <w:p w14:paraId="5E849004" w14:textId="44F8ACB4" w:rsidR="00760E76" w:rsidRPr="00EE112C" w:rsidRDefault="00A22E3E" w:rsidP="00A071A6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EE112C">
        <w:rPr>
          <w:rFonts w:ascii="Times New Roman" w:hAnsi="Times New Roman"/>
          <w:sz w:val="24"/>
          <w:szCs w:val="24"/>
        </w:rPr>
        <w:t xml:space="preserve">3) </w:t>
      </w:r>
      <w:r w:rsidR="00760E76" w:rsidRPr="00EE112C">
        <w:rPr>
          <w:rFonts w:ascii="Times New Roman" w:hAnsi="Times New Roman"/>
          <w:sz w:val="24"/>
          <w:szCs w:val="24"/>
        </w:rPr>
        <w:t>Em</w:t>
      </w:r>
      <w:proofErr w:type="gramEnd"/>
      <w:r w:rsidR="00760E76" w:rsidRPr="00EE112C">
        <w:rPr>
          <w:rFonts w:ascii="Times New Roman" w:hAnsi="Times New Roman"/>
          <w:sz w:val="24"/>
          <w:szCs w:val="24"/>
        </w:rPr>
        <w:t xml:space="preserve"> outros episódios de litigiosidade repetitiva, foi reconhecida a </w:t>
      </w:r>
      <w:proofErr w:type="spellStart"/>
      <w:r w:rsidR="00760E76" w:rsidRPr="00EE112C">
        <w:rPr>
          <w:rFonts w:ascii="Times New Roman" w:hAnsi="Times New Roman"/>
          <w:sz w:val="24"/>
          <w:szCs w:val="24"/>
        </w:rPr>
        <w:t>prejudicialidade</w:t>
      </w:r>
      <w:proofErr w:type="spellEnd"/>
      <w:r w:rsidR="00760E76" w:rsidRPr="00EE112C">
        <w:rPr>
          <w:rFonts w:ascii="Times New Roman" w:hAnsi="Times New Roman"/>
          <w:sz w:val="24"/>
          <w:szCs w:val="24"/>
        </w:rPr>
        <w:t xml:space="preserve"> externa da ação coletiva em relação à ação individual. Como decorrência do reconhecimento da </w:t>
      </w:r>
      <w:proofErr w:type="spellStart"/>
      <w:r w:rsidR="00760E76" w:rsidRPr="00EE112C">
        <w:rPr>
          <w:rFonts w:ascii="Times New Roman" w:hAnsi="Times New Roman"/>
          <w:sz w:val="24"/>
          <w:szCs w:val="24"/>
        </w:rPr>
        <w:t>prejudicialidade</w:t>
      </w:r>
      <w:proofErr w:type="spellEnd"/>
      <w:r w:rsidR="00760E76" w:rsidRPr="00EE112C">
        <w:rPr>
          <w:rFonts w:ascii="Times New Roman" w:hAnsi="Times New Roman"/>
          <w:sz w:val="24"/>
          <w:szCs w:val="24"/>
        </w:rPr>
        <w:t>, foram suspensos os processos individuais e determinou-se que esses processos aguardariam o resultado das ações coletivas. Esta solução foi chancelada pelo STJ (Recurso Especial n</w:t>
      </w:r>
      <w:r w:rsidR="00760E76" w:rsidRPr="00EE112C">
        <w:rPr>
          <w:rFonts w:ascii="Times New Roman" w:hAnsi="Times New Roman"/>
          <w:sz w:val="24"/>
          <w:szCs w:val="24"/>
          <w:vertAlign w:val="superscript"/>
        </w:rPr>
        <w:t>o</w:t>
      </w:r>
      <w:r w:rsidR="00760E76" w:rsidRPr="00EE112C">
        <w:rPr>
          <w:rFonts w:ascii="Times New Roman" w:hAnsi="Times New Roman"/>
          <w:sz w:val="24"/>
          <w:szCs w:val="24"/>
        </w:rPr>
        <w:t xml:space="preserve"> 1.110.549 – RS). No acórdão paradigmático transparece clara a preocupação com a administração da litigiosidade repetitiva ao fazer menção à “macro-lide geradora de processos </w:t>
      </w:r>
      <w:proofErr w:type="spellStart"/>
      <w:r w:rsidR="00760E76" w:rsidRPr="00EE112C">
        <w:rPr>
          <w:rFonts w:ascii="Times New Roman" w:hAnsi="Times New Roman"/>
          <w:sz w:val="24"/>
          <w:szCs w:val="24"/>
        </w:rPr>
        <w:t>multitudinários</w:t>
      </w:r>
      <w:proofErr w:type="spellEnd"/>
      <w:r w:rsidR="00760E76" w:rsidRPr="00EE112C">
        <w:rPr>
          <w:rFonts w:ascii="Times New Roman" w:hAnsi="Times New Roman"/>
          <w:sz w:val="24"/>
          <w:szCs w:val="24"/>
        </w:rPr>
        <w:t>”. Consta da ementa do julgado:</w:t>
      </w:r>
    </w:p>
    <w:p w14:paraId="1E95C2FF" w14:textId="77777777" w:rsidR="00760E76" w:rsidRPr="00EE112C" w:rsidRDefault="00760E76" w:rsidP="00A071A6">
      <w:pPr>
        <w:ind w:left="1701"/>
        <w:jc w:val="both"/>
        <w:rPr>
          <w:rFonts w:ascii="Times New Roman" w:eastAsiaTheme="minorEastAsia" w:hAnsi="Times New Roman"/>
          <w:sz w:val="24"/>
          <w:szCs w:val="24"/>
        </w:rPr>
      </w:pPr>
    </w:p>
    <w:p w14:paraId="7266666F" w14:textId="77777777" w:rsidR="00760E76" w:rsidRPr="00EE112C" w:rsidRDefault="00760E76" w:rsidP="00A071A6">
      <w:pPr>
        <w:ind w:left="1701"/>
        <w:jc w:val="both"/>
        <w:rPr>
          <w:rFonts w:ascii="Times New Roman" w:eastAsiaTheme="minorEastAsia" w:hAnsi="Times New Roman"/>
          <w:sz w:val="24"/>
          <w:szCs w:val="24"/>
        </w:rPr>
      </w:pPr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“Ajuizada </w:t>
      </w:r>
      <w:proofErr w:type="spellStart"/>
      <w:r w:rsidRPr="00EE112C">
        <w:rPr>
          <w:rStyle w:val="CitaoChar"/>
          <w:rFonts w:cs="Times New Roman"/>
          <w:sz w:val="24"/>
          <w:szCs w:val="24"/>
          <w:lang w:val="pt-BR"/>
        </w:rPr>
        <w:t>ação</w:t>
      </w:r>
      <w:proofErr w:type="spellEnd"/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 coletiva atinente a </w:t>
      </w:r>
      <w:proofErr w:type="spellStart"/>
      <w:r w:rsidRPr="00EE112C">
        <w:rPr>
          <w:rStyle w:val="CitaoChar"/>
          <w:rFonts w:cs="Times New Roman"/>
          <w:sz w:val="24"/>
          <w:szCs w:val="24"/>
          <w:lang w:val="pt-BR"/>
        </w:rPr>
        <w:t>macro-lide</w:t>
      </w:r>
      <w:proofErr w:type="spellEnd"/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 geradora de processos </w:t>
      </w:r>
      <w:proofErr w:type="spellStart"/>
      <w:r w:rsidRPr="00EE112C">
        <w:rPr>
          <w:rStyle w:val="CitaoChar"/>
          <w:rFonts w:cs="Times New Roman"/>
          <w:sz w:val="24"/>
          <w:szCs w:val="24"/>
          <w:lang w:val="pt-BR"/>
        </w:rPr>
        <w:t>multitudinários</w:t>
      </w:r>
      <w:proofErr w:type="spellEnd"/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, suspendem-se as </w:t>
      </w:r>
      <w:proofErr w:type="spellStart"/>
      <w:r w:rsidRPr="00EE112C">
        <w:rPr>
          <w:rStyle w:val="CitaoChar"/>
          <w:rFonts w:cs="Times New Roman"/>
          <w:sz w:val="24"/>
          <w:szCs w:val="24"/>
          <w:lang w:val="pt-BR"/>
        </w:rPr>
        <w:t>ações</w:t>
      </w:r>
      <w:proofErr w:type="spellEnd"/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 individuais, no aguardo do julgamento da </w:t>
      </w:r>
      <w:proofErr w:type="spellStart"/>
      <w:r w:rsidRPr="00EE112C">
        <w:rPr>
          <w:rStyle w:val="CitaoChar"/>
          <w:rFonts w:cs="Times New Roman"/>
          <w:sz w:val="24"/>
          <w:szCs w:val="24"/>
          <w:lang w:val="pt-BR"/>
        </w:rPr>
        <w:t>ação</w:t>
      </w:r>
      <w:proofErr w:type="spellEnd"/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 coletiva. Entendimento que </w:t>
      </w:r>
      <w:proofErr w:type="spellStart"/>
      <w:r w:rsidRPr="00EE112C">
        <w:rPr>
          <w:rStyle w:val="CitaoChar"/>
          <w:rFonts w:cs="Times New Roman"/>
          <w:sz w:val="24"/>
          <w:szCs w:val="24"/>
          <w:lang w:val="pt-BR"/>
        </w:rPr>
        <w:t>não</w:t>
      </w:r>
      <w:proofErr w:type="spellEnd"/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 nega </w:t>
      </w:r>
      <w:proofErr w:type="spellStart"/>
      <w:r w:rsidRPr="00EE112C">
        <w:rPr>
          <w:rStyle w:val="CitaoChar"/>
          <w:rFonts w:cs="Times New Roman"/>
          <w:sz w:val="24"/>
          <w:szCs w:val="24"/>
          <w:lang w:val="pt-BR"/>
        </w:rPr>
        <w:t>vigência</w:t>
      </w:r>
      <w:proofErr w:type="spellEnd"/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 aos </w:t>
      </w:r>
      <w:proofErr w:type="spellStart"/>
      <w:r w:rsidRPr="00EE112C">
        <w:rPr>
          <w:rStyle w:val="CitaoChar"/>
          <w:rFonts w:cs="Times New Roman"/>
          <w:sz w:val="24"/>
          <w:szCs w:val="24"/>
          <w:lang w:val="pt-BR"/>
        </w:rPr>
        <w:t>arts</w:t>
      </w:r>
      <w:proofErr w:type="spellEnd"/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. 51, IV e § 1º, 103 e 104 do </w:t>
      </w:r>
      <w:proofErr w:type="spellStart"/>
      <w:r w:rsidRPr="00EE112C">
        <w:rPr>
          <w:rStyle w:val="CitaoChar"/>
          <w:rFonts w:cs="Times New Roman"/>
          <w:sz w:val="24"/>
          <w:szCs w:val="24"/>
          <w:lang w:val="pt-BR"/>
        </w:rPr>
        <w:t>Código</w:t>
      </w:r>
      <w:proofErr w:type="spellEnd"/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 de Defesa do Consumidor; 122 e 166 do </w:t>
      </w:r>
      <w:proofErr w:type="spellStart"/>
      <w:r w:rsidRPr="00EE112C">
        <w:rPr>
          <w:rStyle w:val="CitaoChar"/>
          <w:rFonts w:cs="Times New Roman"/>
          <w:sz w:val="24"/>
          <w:szCs w:val="24"/>
          <w:lang w:val="pt-BR"/>
        </w:rPr>
        <w:t>Código</w:t>
      </w:r>
      <w:proofErr w:type="spellEnd"/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 Civil; e 2º e 6º do </w:t>
      </w:r>
      <w:proofErr w:type="spellStart"/>
      <w:r w:rsidRPr="00EE112C">
        <w:rPr>
          <w:rStyle w:val="CitaoChar"/>
          <w:rFonts w:cs="Times New Roman"/>
          <w:sz w:val="24"/>
          <w:szCs w:val="24"/>
          <w:lang w:val="pt-BR"/>
        </w:rPr>
        <w:t>Código</w:t>
      </w:r>
      <w:proofErr w:type="spellEnd"/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 de Processo Civil, com os quais se harmoniza, </w:t>
      </w:r>
      <w:proofErr w:type="spellStart"/>
      <w:r w:rsidRPr="00EE112C">
        <w:rPr>
          <w:rStyle w:val="CitaoChar"/>
          <w:rFonts w:cs="Times New Roman"/>
          <w:sz w:val="24"/>
          <w:szCs w:val="24"/>
          <w:lang w:val="pt-BR"/>
        </w:rPr>
        <w:t>atualizando-lhes</w:t>
      </w:r>
      <w:proofErr w:type="spellEnd"/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 a </w:t>
      </w:r>
      <w:proofErr w:type="spellStart"/>
      <w:r w:rsidRPr="00EE112C">
        <w:rPr>
          <w:rStyle w:val="CitaoChar"/>
          <w:rFonts w:cs="Times New Roman"/>
          <w:sz w:val="24"/>
          <w:szCs w:val="24"/>
          <w:lang w:val="pt-BR"/>
        </w:rPr>
        <w:t>interpretação</w:t>
      </w:r>
      <w:proofErr w:type="spellEnd"/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 </w:t>
      </w:r>
      <w:proofErr w:type="spellStart"/>
      <w:r w:rsidRPr="00EE112C">
        <w:rPr>
          <w:rStyle w:val="CitaoChar"/>
          <w:rFonts w:cs="Times New Roman"/>
          <w:sz w:val="24"/>
          <w:szCs w:val="24"/>
          <w:lang w:val="pt-BR"/>
        </w:rPr>
        <w:t>extraída</w:t>
      </w:r>
      <w:proofErr w:type="spellEnd"/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 da potencialidade desses dispositivos legais ante a diretriz legal resultante do disposto no art. 543-C do </w:t>
      </w:r>
      <w:proofErr w:type="spellStart"/>
      <w:r w:rsidRPr="00EE112C">
        <w:rPr>
          <w:rStyle w:val="CitaoChar"/>
          <w:rFonts w:cs="Times New Roman"/>
          <w:sz w:val="24"/>
          <w:szCs w:val="24"/>
          <w:lang w:val="pt-BR"/>
        </w:rPr>
        <w:t>Código</w:t>
      </w:r>
      <w:proofErr w:type="spellEnd"/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 de Processo Civil, com a </w:t>
      </w:r>
      <w:proofErr w:type="spellStart"/>
      <w:r w:rsidRPr="00EE112C">
        <w:rPr>
          <w:rStyle w:val="CitaoChar"/>
          <w:rFonts w:cs="Times New Roman"/>
          <w:sz w:val="24"/>
          <w:szCs w:val="24"/>
          <w:lang w:val="pt-BR"/>
        </w:rPr>
        <w:t>redação</w:t>
      </w:r>
      <w:proofErr w:type="spellEnd"/>
      <w:r w:rsidRPr="00EE112C">
        <w:rPr>
          <w:rStyle w:val="CitaoChar"/>
          <w:rFonts w:cs="Times New Roman"/>
          <w:sz w:val="24"/>
          <w:szCs w:val="24"/>
          <w:lang w:val="pt-BR"/>
        </w:rPr>
        <w:t xml:space="preserve"> dada pela Lei dos Recursos Repetitivos (Lei 11.672, de 8.5.2008).”</w:t>
      </w:r>
      <w:r w:rsidRPr="00EE112C">
        <w:rPr>
          <w:rStyle w:val="Refdenotaderodap"/>
          <w:rFonts w:cs="Times New Roman"/>
          <w:sz w:val="24"/>
          <w:szCs w:val="24"/>
        </w:rPr>
        <w:footnoteReference w:id="4"/>
      </w:r>
    </w:p>
    <w:p w14:paraId="5D749A32" w14:textId="77777777" w:rsidR="00760E76" w:rsidRPr="00EE112C" w:rsidRDefault="00760E76" w:rsidP="00A071A6">
      <w:pPr>
        <w:ind w:firstLine="1701"/>
        <w:jc w:val="both"/>
        <w:rPr>
          <w:rFonts w:ascii="Times New Roman" w:eastAsiaTheme="minorEastAsia" w:hAnsi="Times New Roman"/>
          <w:sz w:val="24"/>
          <w:szCs w:val="24"/>
        </w:rPr>
      </w:pPr>
    </w:p>
    <w:p w14:paraId="5D4C6354" w14:textId="77777777" w:rsidR="00760E76" w:rsidRPr="00EE112C" w:rsidRDefault="00760E76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 xml:space="preserve">O STJ considerou a mudança legislativa decorrente da edição da Lei dos Recursos Repetitivos como diretriz processual apta a justificar a suspensão das </w:t>
      </w:r>
      <w:proofErr w:type="spellStart"/>
      <w:r w:rsidRPr="00EE112C">
        <w:rPr>
          <w:rFonts w:ascii="Times New Roman" w:hAnsi="Times New Roman"/>
          <w:sz w:val="24"/>
          <w:szCs w:val="24"/>
        </w:rPr>
        <w:t>ações</w:t>
      </w:r>
      <w:proofErr w:type="spellEnd"/>
      <w:r w:rsidRPr="00EE112C">
        <w:rPr>
          <w:rFonts w:ascii="Times New Roman" w:hAnsi="Times New Roman"/>
          <w:sz w:val="24"/>
          <w:szCs w:val="24"/>
        </w:rPr>
        <w:t xml:space="preserve"> individuais </w:t>
      </w:r>
      <w:proofErr w:type="spellStart"/>
      <w:r w:rsidRPr="00EE112C">
        <w:rPr>
          <w:rFonts w:ascii="Times New Roman" w:hAnsi="Times New Roman"/>
          <w:sz w:val="24"/>
          <w:szCs w:val="24"/>
        </w:rPr>
        <w:t>ate</w:t>
      </w:r>
      <w:proofErr w:type="spellEnd"/>
      <w:r w:rsidRPr="00EE112C">
        <w:rPr>
          <w:rFonts w:ascii="Times New Roman" w:hAnsi="Times New Roman"/>
          <w:sz w:val="24"/>
          <w:szCs w:val="24"/>
        </w:rPr>
        <w:t xml:space="preserve">́ o julgamento da </w:t>
      </w:r>
      <w:proofErr w:type="spellStart"/>
      <w:r w:rsidRPr="00EE112C">
        <w:rPr>
          <w:rFonts w:ascii="Times New Roman" w:hAnsi="Times New Roman"/>
          <w:sz w:val="24"/>
          <w:szCs w:val="24"/>
        </w:rPr>
        <w:t>ação</w:t>
      </w:r>
      <w:proofErr w:type="spellEnd"/>
      <w:r w:rsidRPr="00EE112C">
        <w:rPr>
          <w:rFonts w:ascii="Times New Roman" w:hAnsi="Times New Roman"/>
          <w:sz w:val="24"/>
          <w:szCs w:val="24"/>
        </w:rPr>
        <w:t xml:space="preserve"> coletiva, a fim de conferir interpretação teleológica à legislação processual, para realizar os direitos consumeristas e também para viabilizar a atividade judiciária diante de uma realidade processual de litigiosidade repetitiva. O STJ interpretou o artigo 81 do </w:t>
      </w:r>
      <w:proofErr w:type="spellStart"/>
      <w:r w:rsidRPr="00EE112C">
        <w:rPr>
          <w:rFonts w:ascii="Times New Roman" w:hAnsi="Times New Roman"/>
          <w:sz w:val="24"/>
          <w:szCs w:val="24"/>
        </w:rPr>
        <w:t>Código</w:t>
      </w:r>
      <w:proofErr w:type="spellEnd"/>
      <w:r w:rsidRPr="00EE112C">
        <w:rPr>
          <w:rFonts w:ascii="Times New Roman" w:hAnsi="Times New Roman"/>
          <w:sz w:val="24"/>
          <w:szCs w:val="24"/>
        </w:rPr>
        <w:t xml:space="preserve"> de Defesa do Consumidor de forma a preservar o direito à propositura da ação individual na </w:t>
      </w:r>
      <w:proofErr w:type="spellStart"/>
      <w:r w:rsidRPr="00EE112C">
        <w:rPr>
          <w:rFonts w:ascii="Times New Roman" w:hAnsi="Times New Roman"/>
          <w:sz w:val="24"/>
          <w:szCs w:val="24"/>
        </w:rPr>
        <w:t>pendência</w:t>
      </w:r>
      <w:proofErr w:type="spellEnd"/>
      <w:r w:rsidRPr="00EE112C">
        <w:rPr>
          <w:rFonts w:ascii="Times New Roman" w:hAnsi="Times New Roman"/>
          <w:sz w:val="24"/>
          <w:szCs w:val="24"/>
        </w:rPr>
        <w:t xml:space="preserve"> de ação civil pública (não ficando caracterizada a litispendência), mas autorizou a suspensão dos pleitos individuais em qualquer fase processual até o julgamento do processo coletivo:</w:t>
      </w:r>
    </w:p>
    <w:p w14:paraId="568B6E52" w14:textId="77777777" w:rsidR="00760E76" w:rsidRPr="00EE112C" w:rsidRDefault="00760E76" w:rsidP="00A071A6">
      <w:pPr>
        <w:ind w:left="1701"/>
        <w:jc w:val="both"/>
        <w:rPr>
          <w:rFonts w:ascii="Times New Roman" w:eastAsiaTheme="minorEastAsia" w:hAnsi="Times New Roman"/>
          <w:sz w:val="24"/>
          <w:szCs w:val="24"/>
        </w:rPr>
      </w:pPr>
    </w:p>
    <w:p w14:paraId="3E1433B4" w14:textId="77777777" w:rsidR="00760E76" w:rsidRPr="00EE112C" w:rsidRDefault="00760E76" w:rsidP="00A071A6">
      <w:pPr>
        <w:ind w:left="1701"/>
        <w:jc w:val="both"/>
        <w:rPr>
          <w:rFonts w:ascii="Times New Roman" w:eastAsiaTheme="minorEastAsia" w:hAnsi="Times New Roman"/>
          <w:sz w:val="24"/>
          <w:szCs w:val="24"/>
        </w:rPr>
      </w:pPr>
      <w:r w:rsidRPr="00EE112C">
        <w:rPr>
          <w:rFonts w:ascii="Times New Roman" w:eastAsiaTheme="minorEastAsia" w:hAnsi="Times New Roman"/>
          <w:sz w:val="24"/>
          <w:szCs w:val="24"/>
        </w:rPr>
        <w:t xml:space="preserve">“Note-se que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não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 bastaria, no caso, a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utilização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 apenas parcial do sistema da Lei dos Processos Repetitivos, com o bloqueio de subida dos Recursos ao Tribunal Superior, restando a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multidão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 de processos, contudo, a girar, </w:t>
      </w:r>
      <w:r w:rsidRPr="00EE112C">
        <w:rPr>
          <w:rFonts w:ascii="Times New Roman" w:eastAsiaTheme="minorEastAsia" w:hAnsi="Times New Roman"/>
          <w:sz w:val="24"/>
          <w:szCs w:val="24"/>
        </w:rPr>
        <w:lastRenderedPageBreak/>
        <w:t xml:space="preserve">desgastante e inutilmente, por toda a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máquina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 jurisdicional em 1</w:t>
      </w:r>
      <w:r w:rsidRPr="00EE112C">
        <w:rPr>
          <w:rFonts w:ascii="Times New Roman" w:eastAsiaTheme="minorEastAsia" w:hAnsi="Times New Roman"/>
          <w:sz w:val="24"/>
          <w:szCs w:val="24"/>
          <w:vertAlign w:val="superscript"/>
        </w:rPr>
        <w:t>o</w:t>
      </w:r>
      <w:r w:rsidRPr="00EE112C">
        <w:rPr>
          <w:rFonts w:ascii="Times New Roman" w:eastAsiaTheme="minorEastAsia" w:hAnsi="Times New Roman"/>
          <w:sz w:val="24"/>
          <w:szCs w:val="24"/>
        </w:rPr>
        <w:t xml:space="preserve"> Grau e perante o Tribunal de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Justiça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 competente, inclusive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ate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́ a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interposição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, no caso, do Recurso Especial. Seria, convenha-se, longo e custoso caminho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desnecessário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, de cujo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inútil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 trilhar os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órgãos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judiciários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 e as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próprias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 partes conscientes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concordarão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 em poupar-se, inclusive, repita-se, em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atenção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 ao interesse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público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 de preservar a viabilidade do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próprio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 sistema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judiciário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 ante as demandas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multitudinárias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 xml:space="preserve"> decorrentes de </w:t>
      </w:r>
      <w:proofErr w:type="spellStart"/>
      <w:r w:rsidRPr="00EE112C">
        <w:rPr>
          <w:rFonts w:ascii="Times New Roman" w:eastAsiaTheme="minorEastAsia" w:hAnsi="Times New Roman"/>
          <w:sz w:val="24"/>
          <w:szCs w:val="24"/>
        </w:rPr>
        <w:t>macro-lides</w:t>
      </w:r>
      <w:proofErr w:type="spellEnd"/>
      <w:r w:rsidRPr="00EE112C">
        <w:rPr>
          <w:rFonts w:ascii="Times New Roman" w:eastAsiaTheme="minorEastAsia" w:hAnsi="Times New Roman"/>
          <w:sz w:val="24"/>
          <w:szCs w:val="24"/>
        </w:rPr>
        <w:t>.”</w:t>
      </w:r>
      <w:r w:rsidRPr="00EE112C">
        <w:rPr>
          <w:rStyle w:val="Refdenotaderodap"/>
          <w:rFonts w:cs="Times New Roman"/>
          <w:sz w:val="24"/>
          <w:szCs w:val="24"/>
        </w:rPr>
        <w:footnoteReference w:id="5"/>
      </w:r>
    </w:p>
    <w:p w14:paraId="28105A28" w14:textId="77777777" w:rsidR="00760E76" w:rsidRPr="00EE112C" w:rsidRDefault="00760E76" w:rsidP="00A071A6">
      <w:pPr>
        <w:ind w:firstLine="1701"/>
        <w:jc w:val="both"/>
        <w:rPr>
          <w:rFonts w:ascii="Times New Roman" w:eastAsiaTheme="minorEastAsia" w:hAnsi="Times New Roman"/>
          <w:sz w:val="24"/>
          <w:szCs w:val="24"/>
        </w:rPr>
      </w:pPr>
    </w:p>
    <w:p w14:paraId="165F7B3D" w14:textId="77777777" w:rsidR="00760E76" w:rsidRPr="00EE112C" w:rsidRDefault="00760E76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 xml:space="preserve">O STJ entendeu ainda que a </w:t>
      </w:r>
      <w:proofErr w:type="spellStart"/>
      <w:r w:rsidRPr="00EE112C">
        <w:rPr>
          <w:rFonts w:ascii="Times New Roman" w:hAnsi="Times New Roman"/>
          <w:sz w:val="24"/>
          <w:szCs w:val="24"/>
        </w:rPr>
        <w:t>suspensão</w:t>
      </w:r>
      <w:proofErr w:type="spellEnd"/>
      <w:r w:rsidRPr="00EE112C">
        <w:rPr>
          <w:rFonts w:ascii="Times New Roman" w:hAnsi="Times New Roman"/>
          <w:sz w:val="24"/>
          <w:szCs w:val="24"/>
        </w:rPr>
        <w:t xml:space="preserve"> do processo individual seria justificável para possibilitar que o juízo de primeiro grau, a depender do resultado das ações coletivas, passasse, alternativamente, ao julgamento liminar de improcedência ou à </w:t>
      </w:r>
      <w:proofErr w:type="spellStart"/>
      <w:r w:rsidRPr="00EE112C">
        <w:rPr>
          <w:rFonts w:ascii="Times New Roman" w:hAnsi="Times New Roman"/>
          <w:sz w:val="24"/>
          <w:szCs w:val="24"/>
        </w:rPr>
        <w:t>conversão</w:t>
      </w:r>
      <w:proofErr w:type="spellEnd"/>
      <w:r w:rsidRPr="00EE112C">
        <w:rPr>
          <w:rFonts w:ascii="Times New Roman" w:hAnsi="Times New Roman"/>
          <w:sz w:val="24"/>
          <w:szCs w:val="24"/>
        </w:rPr>
        <w:t xml:space="preserve"> das ações individuais em cumprimento de </w:t>
      </w:r>
      <w:proofErr w:type="spellStart"/>
      <w:r w:rsidRPr="00EE112C">
        <w:rPr>
          <w:rFonts w:ascii="Times New Roman" w:hAnsi="Times New Roman"/>
          <w:sz w:val="24"/>
          <w:szCs w:val="24"/>
        </w:rPr>
        <w:t>sentença</w:t>
      </w:r>
      <w:proofErr w:type="spellEnd"/>
      <w:r w:rsidRPr="00EE112C">
        <w:rPr>
          <w:rFonts w:ascii="Times New Roman" w:hAnsi="Times New Roman"/>
          <w:sz w:val="24"/>
          <w:szCs w:val="24"/>
        </w:rPr>
        <w:t xml:space="preserve"> da </w:t>
      </w:r>
      <w:proofErr w:type="spellStart"/>
      <w:r w:rsidRPr="00EE112C">
        <w:rPr>
          <w:rFonts w:ascii="Times New Roman" w:hAnsi="Times New Roman"/>
          <w:sz w:val="24"/>
          <w:szCs w:val="24"/>
        </w:rPr>
        <w:t>ação</w:t>
      </w:r>
      <w:proofErr w:type="spellEnd"/>
      <w:r w:rsidRPr="00EE112C">
        <w:rPr>
          <w:rFonts w:ascii="Times New Roman" w:hAnsi="Times New Roman"/>
          <w:sz w:val="24"/>
          <w:szCs w:val="24"/>
        </w:rPr>
        <w:t xml:space="preserve"> coletiva, em ambos os casos </w:t>
      </w:r>
      <w:proofErr w:type="gramStart"/>
      <w:r w:rsidRPr="00EE112C">
        <w:rPr>
          <w:rFonts w:ascii="Times New Roman" w:hAnsi="Times New Roman"/>
          <w:sz w:val="24"/>
          <w:szCs w:val="24"/>
        </w:rPr>
        <w:t>privilegiando-se</w:t>
      </w:r>
      <w:proofErr w:type="gramEnd"/>
      <w:r w:rsidRPr="00EE112C">
        <w:rPr>
          <w:rFonts w:ascii="Times New Roman" w:hAnsi="Times New Roman"/>
          <w:sz w:val="24"/>
          <w:szCs w:val="24"/>
        </w:rPr>
        <w:t xml:space="preserve"> a atuação racional do Poder Judiciário, que consiste no emprego de solução que priorize o bom uso de recursos públicos.</w:t>
      </w:r>
    </w:p>
    <w:p w14:paraId="6BE26D30" w14:textId="77777777" w:rsidR="00067139" w:rsidRPr="00EE112C" w:rsidRDefault="00067139" w:rsidP="00A071A6">
      <w:pPr>
        <w:jc w:val="both"/>
        <w:rPr>
          <w:rFonts w:ascii="Times New Roman" w:hAnsi="Times New Roman"/>
          <w:sz w:val="24"/>
          <w:szCs w:val="24"/>
        </w:rPr>
      </w:pPr>
    </w:p>
    <w:p w14:paraId="6883ABEB" w14:textId="6B90A902" w:rsidR="00067139" w:rsidRPr="00EE112C" w:rsidRDefault="00067139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>Proposta: Refletir sobre</w:t>
      </w:r>
      <w:r w:rsidR="00F6772A" w:rsidRPr="00EE112C">
        <w:rPr>
          <w:rFonts w:ascii="Times New Roman" w:hAnsi="Times New Roman"/>
          <w:sz w:val="24"/>
          <w:szCs w:val="24"/>
        </w:rPr>
        <w:t xml:space="preserve"> (i)</w:t>
      </w:r>
      <w:r w:rsidRPr="00EE112C">
        <w:rPr>
          <w:rFonts w:ascii="Times New Roman" w:hAnsi="Times New Roman"/>
          <w:sz w:val="24"/>
          <w:szCs w:val="24"/>
        </w:rPr>
        <w:t xml:space="preserve"> o cabimento da suspensão em episódios de litigiosidade repetitiva, suas </w:t>
      </w:r>
      <w:r w:rsidR="00A071A6" w:rsidRPr="00EE112C">
        <w:rPr>
          <w:rFonts w:ascii="Times New Roman" w:hAnsi="Times New Roman"/>
          <w:sz w:val="24"/>
          <w:szCs w:val="24"/>
        </w:rPr>
        <w:t>condicionantes, vantagens e desvantagens</w:t>
      </w:r>
      <w:r w:rsidR="00F6772A" w:rsidRPr="00EE112C">
        <w:rPr>
          <w:rFonts w:ascii="Times New Roman" w:hAnsi="Times New Roman"/>
          <w:sz w:val="24"/>
          <w:szCs w:val="24"/>
        </w:rPr>
        <w:t>; (</w:t>
      </w:r>
      <w:proofErr w:type="spellStart"/>
      <w:r w:rsidR="00F6772A" w:rsidRPr="00EE112C">
        <w:rPr>
          <w:rFonts w:ascii="Times New Roman" w:hAnsi="Times New Roman"/>
          <w:sz w:val="24"/>
          <w:szCs w:val="24"/>
        </w:rPr>
        <w:t>ii</w:t>
      </w:r>
      <w:proofErr w:type="spellEnd"/>
      <w:r w:rsidR="00F6772A" w:rsidRPr="00EE112C">
        <w:rPr>
          <w:rFonts w:ascii="Times New Roman" w:hAnsi="Times New Roman"/>
          <w:sz w:val="24"/>
          <w:szCs w:val="24"/>
        </w:rPr>
        <w:t>) como atribuir prioridade ao julgamento das ações coletivas, para que, sendo decretada a suspensão, sua duração seja razoável.</w:t>
      </w:r>
    </w:p>
    <w:p w14:paraId="2D5CE8DC" w14:textId="0A970417" w:rsidR="00A22E3E" w:rsidRPr="00EE112C" w:rsidRDefault="00A22E3E" w:rsidP="00A071A6">
      <w:pPr>
        <w:jc w:val="both"/>
        <w:rPr>
          <w:rFonts w:ascii="Times New Roman" w:hAnsi="Times New Roman"/>
          <w:sz w:val="24"/>
          <w:szCs w:val="24"/>
        </w:rPr>
      </w:pPr>
    </w:p>
    <w:p w14:paraId="3B5EB59E" w14:textId="77777777" w:rsidR="008C0B74" w:rsidRPr="00EE112C" w:rsidRDefault="008C0B74" w:rsidP="00A071A6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EE112C">
        <w:rPr>
          <w:rFonts w:ascii="Times New Roman" w:hAnsi="Times New Roman"/>
          <w:sz w:val="24"/>
          <w:szCs w:val="24"/>
        </w:rPr>
        <w:t>4) Imagine</w:t>
      </w:r>
      <w:proofErr w:type="gramEnd"/>
      <w:r w:rsidRPr="00EE112C">
        <w:rPr>
          <w:rFonts w:ascii="Times New Roman" w:hAnsi="Times New Roman"/>
          <w:sz w:val="24"/>
          <w:szCs w:val="24"/>
        </w:rPr>
        <w:t xml:space="preserve"> que os pedidos das ações coletivas fossem julgados procedentes. Como se daria a execução de tal condenação? Algumas sugestões: (i) por meio de liquidações individuais; (</w:t>
      </w:r>
      <w:proofErr w:type="spellStart"/>
      <w:r w:rsidRPr="00EE112C">
        <w:rPr>
          <w:rFonts w:ascii="Times New Roman" w:hAnsi="Times New Roman"/>
          <w:sz w:val="24"/>
          <w:szCs w:val="24"/>
        </w:rPr>
        <w:t>ii</w:t>
      </w:r>
      <w:proofErr w:type="spellEnd"/>
      <w:r w:rsidRPr="00EE112C">
        <w:rPr>
          <w:rFonts w:ascii="Times New Roman" w:hAnsi="Times New Roman"/>
          <w:sz w:val="24"/>
          <w:szCs w:val="24"/>
        </w:rPr>
        <w:t>) por meio de condenação em obrigação de fazer (execução mandamental), determinando-se que as empresas depositassem em o valor na conta de cada um dos consumidores; (</w:t>
      </w:r>
      <w:proofErr w:type="spellStart"/>
      <w:r w:rsidRPr="00EE112C">
        <w:rPr>
          <w:rFonts w:ascii="Times New Roman" w:hAnsi="Times New Roman"/>
          <w:sz w:val="24"/>
          <w:szCs w:val="24"/>
        </w:rPr>
        <w:t>iii</w:t>
      </w:r>
      <w:proofErr w:type="spellEnd"/>
      <w:r w:rsidRPr="00EE112C">
        <w:rPr>
          <w:rFonts w:ascii="Times New Roman" w:hAnsi="Times New Roman"/>
          <w:sz w:val="24"/>
          <w:szCs w:val="24"/>
        </w:rPr>
        <w:t xml:space="preserve">) por meio da instituição de um fundo, gerido por um expert, que receberia extrajudicialmente os pedidos e entregaria o valor diretamente às partes. </w:t>
      </w:r>
    </w:p>
    <w:p w14:paraId="75A771BF" w14:textId="77777777" w:rsidR="008C0B74" w:rsidRPr="00EE112C" w:rsidRDefault="008C0B74" w:rsidP="00A071A6">
      <w:pPr>
        <w:jc w:val="both"/>
        <w:rPr>
          <w:rFonts w:ascii="Times New Roman" w:hAnsi="Times New Roman"/>
          <w:sz w:val="24"/>
          <w:szCs w:val="24"/>
        </w:rPr>
      </w:pPr>
    </w:p>
    <w:p w14:paraId="645A3695" w14:textId="70675E9E" w:rsidR="008C0B74" w:rsidRPr="00EE112C" w:rsidRDefault="008C0B74" w:rsidP="00A071A6">
      <w:pPr>
        <w:jc w:val="both"/>
        <w:rPr>
          <w:rFonts w:ascii="Times New Roman" w:hAnsi="Times New Roman"/>
          <w:sz w:val="24"/>
          <w:szCs w:val="24"/>
        </w:rPr>
      </w:pPr>
      <w:r w:rsidRPr="00EE112C">
        <w:rPr>
          <w:rFonts w:ascii="Times New Roman" w:hAnsi="Times New Roman"/>
          <w:sz w:val="24"/>
          <w:szCs w:val="24"/>
        </w:rPr>
        <w:t>Proposta: Refletir sobre qual opção o grupo considera melhor. Caso não fosse eleita a opção (i), como garantir o pagamento dos honorários advocatícios?</w:t>
      </w:r>
    </w:p>
    <w:sectPr w:rsidR="008C0B74" w:rsidRPr="00EE112C" w:rsidSect="00EE112C">
      <w:headerReference w:type="default" r:id="rId6"/>
      <w:pgSz w:w="11900" w:h="16840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4B5C2" w14:textId="77777777" w:rsidR="007929B9" w:rsidRDefault="007929B9" w:rsidP="005A1A9B">
      <w:r>
        <w:separator/>
      </w:r>
    </w:p>
  </w:endnote>
  <w:endnote w:type="continuationSeparator" w:id="0">
    <w:p w14:paraId="0B212731" w14:textId="77777777" w:rsidR="007929B9" w:rsidRDefault="007929B9" w:rsidP="005A1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7E9F1" w14:textId="77777777" w:rsidR="007929B9" w:rsidRDefault="007929B9" w:rsidP="005A1A9B">
      <w:r>
        <w:separator/>
      </w:r>
    </w:p>
  </w:footnote>
  <w:footnote w:type="continuationSeparator" w:id="0">
    <w:p w14:paraId="64DD1DCE" w14:textId="77777777" w:rsidR="007929B9" w:rsidRDefault="007929B9" w:rsidP="005A1A9B">
      <w:r>
        <w:continuationSeparator/>
      </w:r>
    </w:p>
  </w:footnote>
  <w:footnote w:id="1">
    <w:p w14:paraId="73F28B39" w14:textId="77777777" w:rsidR="00067139" w:rsidRPr="004E524A" w:rsidRDefault="00067139" w:rsidP="003169F8">
      <w:pPr>
        <w:pStyle w:val="Textodenotaderodap"/>
        <w:ind w:left="284" w:hanging="284"/>
        <w:rPr>
          <w:rFonts w:cs="Times New Roman"/>
        </w:rPr>
      </w:pPr>
      <w:r w:rsidRPr="00AA0E20">
        <w:rPr>
          <w:rStyle w:val="Refdenotaderodap"/>
        </w:rPr>
        <w:footnoteRef/>
      </w:r>
      <w:r w:rsidRPr="004E524A">
        <w:rPr>
          <w:rFonts w:cs="Times New Roman"/>
        </w:rPr>
        <w:t xml:space="preserve"> Art. 94 do Código de Defesa do Consumidor: “Proposta a ação, será publicado edital no órgão oficial, a fim de que os interessados possam intervir no processo como litisconsortes, sem prejuízo de ampla divulgação pelos meios de comunicação social por parte dos órgãos de defesa do consumidor.”</w:t>
      </w:r>
    </w:p>
  </w:footnote>
  <w:footnote w:id="2">
    <w:p w14:paraId="3AD3F47B" w14:textId="77777777" w:rsidR="00067139" w:rsidRPr="004E524A" w:rsidRDefault="00067139" w:rsidP="003169F8">
      <w:pPr>
        <w:pStyle w:val="Textodenotaderodap"/>
        <w:ind w:left="284" w:hanging="284"/>
        <w:rPr>
          <w:rFonts w:cs="Times New Roman"/>
        </w:rPr>
      </w:pPr>
      <w:r w:rsidRPr="00AA0E20">
        <w:rPr>
          <w:rStyle w:val="Refdenotaderodap"/>
        </w:rPr>
        <w:footnoteRef/>
      </w:r>
      <w:r w:rsidRPr="004E524A">
        <w:rPr>
          <w:rFonts w:cs="Times New Roman"/>
        </w:rPr>
        <w:t xml:space="preserve"> </w:t>
      </w:r>
      <w:r w:rsidRPr="004E524A">
        <w:rPr>
          <w:rFonts w:cs="Times New Roman"/>
        </w:rPr>
        <w:fldChar w:fldCharType="begin"/>
      </w:r>
      <w:r w:rsidRPr="004E524A">
        <w:rPr>
          <w:rFonts w:cs="Times New Roman"/>
        </w:rPr>
        <w:instrText xml:space="preserve"> ADDIN ZOTERO_ITEM CSL_CITATION {"citationID":"8xVjU1Ag","properties":{"formattedCitation":"{\\rtf Watanabe et al., \\uc0\\u8220{}Tutela Judicial dos Interesses Metaindividuais: A\\uc0\\u231{}\\uc0\\u245{}es Coletivas\\uc0\\u8221{}, 76.}","plainCitation":"Watanabe et al., “Tutela Judicial dos Interesses Metaindividuais: Ações Coletivas”, 76."},"citationItems":[{"id":544,"uris":["http://zotero.org/users/1977096/items/W4BAXIDV"],"uri":["http://zotero.org/users/1977096/items/W4BAXIDV"],"itemData":{"id":544,"type":"report","title":"Tutela Judicial dos Interesses Metaindividuais: Ações Coletivas","publisher":"Secretaria de Reforma do Judiciário; Cebepej; Banco Mundial","publisher-place":"Brasília","event-place":"Brasília","author":[{"family":"Watanabe","given":"Kazuo"},{"family":"Sadek","given":"Maria Tereza"},{"family":"Ferraz","given":"Leslie Shérida"},{"family":"Veríssimo","given":"Marcos Paulo"}],"issued":{"date-parts":[["2007"]]}},"locator":"76"}],"schema":"https://github.com/citation-style-language/schema/raw/master/csl-citation.json"} </w:instrText>
      </w:r>
      <w:r w:rsidRPr="004E524A">
        <w:rPr>
          <w:rFonts w:cs="Times New Roman"/>
        </w:rPr>
        <w:fldChar w:fldCharType="separate"/>
      </w:r>
      <w:r w:rsidRPr="0062736F">
        <w:rPr>
          <w:rFonts w:cs="Times New Roman"/>
        </w:rPr>
        <w:t>Watanabe et al., “Tutela Judicial dos Interesses Metaindividuais: Ações Coletivas”, 76.</w:t>
      </w:r>
      <w:r w:rsidRPr="004E524A">
        <w:rPr>
          <w:rFonts w:cs="Times New Roman"/>
        </w:rPr>
        <w:fldChar w:fldCharType="end"/>
      </w:r>
      <w:r w:rsidRPr="004E524A">
        <w:rPr>
          <w:rFonts w:cs="Times New Roman"/>
        </w:rPr>
        <w:t xml:space="preserve"> </w:t>
      </w:r>
    </w:p>
  </w:footnote>
  <w:footnote w:id="3">
    <w:p w14:paraId="7056E660" w14:textId="77777777" w:rsidR="00067139" w:rsidRPr="004E524A" w:rsidRDefault="00067139" w:rsidP="000D2166">
      <w:pPr>
        <w:pStyle w:val="Textodenotaderodap"/>
        <w:ind w:left="284" w:hanging="284"/>
        <w:rPr>
          <w:rFonts w:cs="Times New Roman"/>
        </w:rPr>
      </w:pPr>
      <w:r w:rsidRPr="00AA0E20">
        <w:rPr>
          <w:rStyle w:val="Refdenotaderodap"/>
        </w:rPr>
        <w:footnoteRef/>
      </w:r>
      <w:r w:rsidRPr="004E524A">
        <w:rPr>
          <w:rFonts w:cs="Times New Roman"/>
        </w:rPr>
        <w:t xml:space="preserve"> </w:t>
      </w:r>
      <w:r w:rsidRPr="004E524A">
        <w:rPr>
          <w:rFonts w:cs="Times New Roman"/>
        </w:rPr>
        <w:fldChar w:fldCharType="begin"/>
      </w:r>
      <w:r w:rsidRPr="004E524A">
        <w:rPr>
          <w:rFonts w:cs="Times New Roman"/>
        </w:rPr>
        <w:instrText xml:space="preserve"> ADDIN ZOTERO_ITEM CSL_CITATION {"citationID":"iMKaFyEQ","properties":{"formattedCitation":"Ibidem, 11.","plainCitation":"Ibidem, 11."},"citationItems":[{"id":544,"uris":["http://zotero.org/users/1977096/items/W4BAXIDV"],"uri":["http://zotero.org/users/1977096/items/W4BAXIDV"],"itemData":{"id":544,"type":"report","title":"Tutela Judicial dos Interesses Metaindividuais: Ações Coletivas","publisher":"Secretaria de Reforma do Judiciário; Cebepej; Banco Mundial","publisher-place":"Brasília","event-place":"Brasília","author":[{"family":"Watanabe","given":"Kazuo"},{"family":"Sadek","given":"Maria Tereza"},{"family":"Ferraz","given":"Leslie Shérida"},{"family":"Veríssimo","given":"Marcos Paulo"}],"issued":{"date-parts":[["2007"]]}},"locator":"11"}],"schema":"https://github.com/citation-style-language/schema/raw/master/csl-citation.json"} </w:instrText>
      </w:r>
      <w:r w:rsidRPr="004E524A">
        <w:rPr>
          <w:rFonts w:cs="Times New Roman"/>
        </w:rPr>
        <w:fldChar w:fldCharType="separate"/>
      </w:r>
      <w:r w:rsidRPr="004E524A">
        <w:rPr>
          <w:rFonts w:cs="Times New Roman"/>
          <w:noProof/>
        </w:rPr>
        <w:t>Ibidem, 11.</w:t>
      </w:r>
      <w:r w:rsidRPr="004E524A">
        <w:rPr>
          <w:rFonts w:cs="Times New Roman"/>
        </w:rPr>
        <w:fldChar w:fldCharType="end"/>
      </w:r>
      <w:r w:rsidRPr="004E524A">
        <w:rPr>
          <w:rFonts w:cs="Times New Roman"/>
        </w:rPr>
        <w:t xml:space="preserve"> O mesmo estudo apontou que nem o Ministério Público nem órgãos judiciários dispunham de dados para subsidiar uma pesquisa empírica a respeito do tema no Brasil: </w:t>
      </w:r>
      <w:r w:rsidRPr="004E524A">
        <w:rPr>
          <w:rFonts w:cs="Times New Roman"/>
        </w:rPr>
        <w:fldChar w:fldCharType="begin"/>
      </w:r>
      <w:r w:rsidRPr="004E524A">
        <w:rPr>
          <w:rFonts w:cs="Times New Roman"/>
        </w:rPr>
        <w:instrText xml:space="preserve"> ADDIN ZOTERO_ITEM CSL_CITATION {"citationID":"l2I6SMni","properties":{"formattedCitation":"Ibidem, 24.","plainCitation":"Ibidem, 24."},"citationItems":[{"id":544,"uris":["http://zotero.org/users/1977096/items/W4BAXIDV"],"uri":["http://zotero.org/users/1977096/items/W4BAXIDV"],"itemData":{"id":544,"type":"report","title":"Tutela Judicial dos Interesses Metaindividuais: Ações Coletivas","publisher":"Secretaria de Reforma do Judiciário; Cebepej; Banco Mundial","publisher-place":"Brasília","event-place":"Brasília","author":[{"family":"Watanabe","given":"Kazuo"},{"family":"Sadek","given":"Maria Tereza"},{"family":"Ferraz","given":"Leslie Shérida"},{"family":"Veríssimo","given":"Marcos Paulo"}],"issued":{"date-parts":[["2007"]]}},"locator":"24"}],"schema":"https://github.com/citation-style-language/schema/raw/master/csl-citation.json"} </w:instrText>
      </w:r>
      <w:r w:rsidRPr="004E524A">
        <w:rPr>
          <w:rFonts w:cs="Times New Roman"/>
        </w:rPr>
        <w:fldChar w:fldCharType="separate"/>
      </w:r>
      <w:r w:rsidRPr="004E524A">
        <w:rPr>
          <w:rFonts w:cs="Times New Roman"/>
        </w:rPr>
        <w:t>Ibidem, 24.</w:t>
      </w:r>
      <w:r w:rsidRPr="004E524A">
        <w:rPr>
          <w:rFonts w:cs="Times New Roman"/>
        </w:rPr>
        <w:fldChar w:fldCharType="end"/>
      </w:r>
    </w:p>
  </w:footnote>
  <w:footnote w:id="4">
    <w:p w14:paraId="503ADE7F" w14:textId="77777777" w:rsidR="00067139" w:rsidRPr="004E524A" w:rsidRDefault="00067139" w:rsidP="00760E76">
      <w:pPr>
        <w:pStyle w:val="Textodenotaderodap"/>
        <w:ind w:left="284" w:hanging="284"/>
      </w:pPr>
      <w:r w:rsidRPr="00AA0E20">
        <w:rPr>
          <w:rStyle w:val="Refdenotaderodap"/>
        </w:rPr>
        <w:footnoteRef/>
      </w:r>
      <w:r w:rsidRPr="004E524A">
        <w:t xml:space="preserve"> </w:t>
      </w:r>
      <w:r w:rsidRPr="004E524A">
        <w:fldChar w:fldCharType="begin"/>
      </w:r>
      <w:r w:rsidRPr="004E524A">
        <w:instrText xml:space="preserve"> ADDIN ZOTERO_ITEM CSL_CITATION {"citationID":"Kuo6sRNJ","properties":{"formattedCitation":"{\\rtf Segunda Se\\uc0\\u231{}\\uc0\\u227{}o do STJ, Recurso Especial 1.110.549-RS, Ministro Sidnei Beneti.}","plainCitation":"Segunda Seção do STJ, Recurso Especial 1.110.549-RS, Ministro Sidnei Beneti."},"citationItems":[{"id":71,"uris":["http://zotero.org/users/1977096/items/422A9ZFD"],"uri":["http://zotero.org/users/1977096/items/422A9ZFD"],"itemData":{"id":71,"type":"legal_case","title":"Recurso Especial 1.110.549-RS","container-title":"Ministro Sidnei Beneti","authority":"Superior Tribunal de Justiça","URL":"https://ww2.stj.jus.br/processo/revista/documento/mediado/?componente=ITA&amp;sequencial=924975&amp;num_registro=200900070092&amp;data=20091214&amp;formato=PDF","author":[{"literal":"Segunda Seção do STJ"}],"issued":{"date-parts":[["2009",10,28]]}}}],"schema":"https://github.com/citation-style-language/schema/raw/master/csl-citation.json"} </w:instrText>
      </w:r>
      <w:r w:rsidRPr="004E524A">
        <w:fldChar w:fldCharType="separate"/>
      </w:r>
      <w:r w:rsidRPr="0062736F">
        <w:rPr>
          <w:rFonts w:cs="Times New Roman"/>
        </w:rPr>
        <w:t>Segunda Seção do STJ, Recurso Especial 1.110.549-RS, Ministro Sidnei Beneti.</w:t>
      </w:r>
      <w:r w:rsidRPr="004E524A">
        <w:fldChar w:fldCharType="end"/>
      </w:r>
    </w:p>
  </w:footnote>
  <w:footnote w:id="5">
    <w:p w14:paraId="7D768EB7" w14:textId="77777777" w:rsidR="00067139" w:rsidRPr="004E524A" w:rsidRDefault="00067139" w:rsidP="00760E76">
      <w:pPr>
        <w:pStyle w:val="Textodenotaderodap"/>
        <w:ind w:left="284" w:hanging="284"/>
      </w:pPr>
      <w:r w:rsidRPr="00AA0E20">
        <w:rPr>
          <w:rStyle w:val="Refdenotaderodap"/>
        </w:rPr>
        <w:footnoteRef/>
      </w:r>
      <w:r w:rsidRPr="004E524A">
        <w:t xml:space="preserve"> </w:t>
      </w:r>
      <w:r w:rsidRPr="004E524A">
        <w:fldChar w:fldCharType="begin"/>
      </w:r>
      <w:r w:rsidRPr="004E524A">
        <w:instrText xml:space="preserve"> ADDIN ZOTERO_ITEM CSL_CITATION {"citationID":"mOIm1AFr","properties":{"formattedCitation":"Ibidem.","plainCitation":"Ibidem."},"citationItems":[{"id":71,"uris":["http://zotero.org/users/1977096/items/422A9ZFD"],"uri":["http://zotero.org/users/1977096/items/422A9ZFD"],"itemData":{"id":71,"type":"legal_case","title":"Recurso Especial 1.110.549-RS","container-title":"Ministro Sidnei Beneti","authority":"Superior Tribunal de Justiça","URL":"https://ww2.stj.jus.br/processo/revista/documento/mediado/?componente=ITA&amp;sequencial=924975&amp;num_registro=200900070092&amp;data=20091214&amp;formato=PDF","author":[{"literal":"Segunda Seção do STJ"}],"issued":{"date-parts":[["2009",10,28]]}}}],"schema":"https://github.com/citation-style-language/schema/raw/master/csl-citation.json"} </w:instrText>
      </w:r>
      <w:r w:rsidRPr="004E524A">
        <w:fldChar w:fldCharType="separate"/>
      </w:r>
      <w:r w:rsidRPr="004E524A">
        <w:t>Ibidem.</w:t>
      </w:r>
      <w:r w:rsidRPr="004E524A">
        <w:fldChar w:fldCharType="end"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C161D" w14:textId="255A52EC" w:rsidR="00EE112C" w:rsidRDefault="00937E08" w:rsidP="00717F0E">
    <w:pPr>
      <w:pStyle w:val="Cabealho"/>
      <w:jc w:val="center"/>
    </w:pPr>
    <w:r>
      <w:pict w14:anchorId="7A6F134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73.5pt;height:112.5pt">
          <v:imagedata r:id="rId1" o:title="logo enfam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2D"/>
    <w:rsid w:val="00010AFA"/>
    <w:rsid w:val="00011871"/>
    <w:rsid w:val="000210BD"/>
    <w:rsid w:val="00067139"/>
    <w:rsid w:val="00076040"/>
    <w:rsid w:val="000D2166"/>
    <w:rsid w:val="000E41F3"/>
    <w:rsid w:val="000E717C"/>
    <w:rsid w:val="000F12C4"/>
    <w:rsid w:val="00106ED2"/>
    <w:rsid w:val="00136405"/>
    <w:rsid w:val="00161126"/>
    <w:rsid w:val="00170418"/>
    <w:rsid w:val="001D7258"/>
    <w:rsid w:val="00240AE7"/>
    <w:rsid w:val="002626F7"/>
    <w:rsid w:val="003169F8"/>
    <w:rsid w:val="00355823"/>
    <w:rsid w:val="003B625F"/>
    <w:rsid w:val="00407E26"/>
    <w:rsid w:val="00454431"/>
    <w:rsid w:val="00486E59"/>
    <w:rsid w:val="005A1A9B"/>
    <w:rsid w:val="00603A6F"/>
    <w:rsid w:val="00614351"/>
    <w:rsid w:val="00632E09"/>
    <w:rsid w:val="006805FD"/>
    <w:rsid w:val="00717F0E"/>
    <w:rsid w:val="00760E76"/>
    <w:rsid w:val="00761C39"/>
    <w:rsid w:val="00791503"/>
    <w:rsid w:val="007929B9"/>
    <w:rsid w:val="00801919"/>
    <w:rsid w:val="00813869"/>
    <w:rsid w:val="00816F3F"/>
    <w:rsid w:val="00826498"/>
    <w:rsid w:val="008430D3"/>
    <w:rsid w:val="008A1646"/>
    <w:rsid w:val="008C032D"/>
    <w:rsid w:val="008C0B74"/>
    <w:rsid w:val="008C1D2D"/>
    <w:rsid w:val="00911400"/>
    <w:rsid w:val="009144EA"/>
    <w:rsid w:val="00937E08"/>
    <w:rsid w:val="00955104"/>
    <w:rsid w:val="00962E8E"/>
    <w:rsid w:val="009936BF"/>
    <w:rsid w:val="009D713D"/>
    <w:rsid w:val="00A071A6"/>
    <w:rsid w:val="00A1205C"/>
    <w:rsid w:val="00A22E3E"/>
    <w:rsid w:val="00A2334E"/>
    <w:rsid w:val="00A3648C"/>
    <w:rsid w:val="00A47EE4"/>
    <w:rsid w:val="00AA6299"/>
    <w:rsid w:val="00AB747C"/>
    <w:rsid w:val="00AC59D2"/>
    <w:rsid w:val="00B21603"/>
    <w:rsid w:val="00B334CE"/>
    <w:rsid w:val="00B51C52"/>
    <w:rsid w:val="00B54B47"/>
    <w:rsid w:val="00B719D9"/>
    <w:rsid w:val="00C273BC"/>
    <w:rsid w:val="00C76F18"/>
    <w:rsid w:val="00D07D4A"/>
    <w:rsid w:val="00D23E3A"/>
    <w:rsid w:val="00D5566F"/>
    <w:rsid w:val="00D56A9A"/>
    <w:rsid w:val="00E2560E"/>
    <w:rsid w:val="00E914C9"/>
    <w:rsid w:val="00EE112C"/>
    <w:rsid w:val="00EF56D9"/>
    <w:rsid w:val="00F42EB5"/>
    <w:rsid w:val="00F6772A"/>
    <w:rsid w:val="00F93D8E"/>
    <w:rsid w:val="00FA677E"/>
    <w:rsid w:val="00FE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1CA8D998"/>
  <w14:defaultImageDpi w14:val="300"/>
  <w15:docId w15:val="{6CD287E9-E8BB-4E2A-BD07-CCEB2DB7B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D2D"/>
    <w:rPr>
      <w:rFonts w:ascii="Calibri" w:eastAsiaTheme="minorHAnsi" w:hAnsi="Calibri" w:cs="Times New Roman"/>
      <w:sz w:val="22"/>
      <w:szCs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632E09"/>
    <w:pPr>
      <w:keepNext/>
      <w:keepLines/>
      <w:spacing w:before="480"/>
      <w:jc w:val="both"/>
      <w:outlineLvl w:val="0"/>
    </w:pPr>
    <w:rPr>
      <w:rFonts w:ascii="Times New Roman" w:eastAsiaTheme="majorEastAsia" w:hAnsi="Times New Roman" w:cstheme="majorBidi"/>
      <w:b/>
      <w:bCs/>
      <w:smallCaps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A3648C"/>
    <w:pPr>
      <w:keepNext/>
      <w:keepLines/>
      <w:spacing w:line="360" w:lineRule="auto"/>
      <w:jc w:val="both"/>
      <w:outlineLvl w:val="1"/>
    </w:pPr>
    <w:rPr>
      <w:rFonts w:ascii="Times New Roman" w:eastAsiaTheme="majorEastAsia" w:hAnsi="Times New Roman" w:cstheme="majorBidi"/>
      <w:b/>
      <w:bCs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A3648C"/>
    <w:pPr>
      <w:keepNext/>
      <w:keepLines/>
      <w:spacing w:line="360" w:lineRule="auto"/>
      <w:outlineLvl w:val="2"/>
    </w:pPr>
    <w:rPr>
      <w:rFonts w:ascii="Times New Roman" w:eastAsiaTheme="majorEastAsia" w:hAnsi="Times New Roman" w:cstheme="majorBidi"/>
      <w:b/>
      <w:bCs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A3648C"/>
    <w:pPr>
      <w:keepNext/>
      <w:keepLines/>
      <w:spacing w:line="360" w:lineRule="auto"/>
      <w:outlineLvl w:val="3"/>
    </w:pPr>
    <w:rPr>
      <w:rFonts w:ascii="Times New Roman" w:eastAsiaTheme="majorEastAsia" w:hAnsi="Times New Roman" w:cstheme="majorBidi"/>
      <w:b/>
      <w:bCs/>
      <w:iCs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A3648C"/>
    <w:pPr>
      <w:keepNext/>
      <w:keepLines/>
      <w:spacing w:line="360" w:lineRule="auto"/>
      <w:jc w:val="both"/>
      <w:outlineLvl w:val="4"/>
    </w:pPr>
    <w:rPr>
      <w:rFonts w:ascii="Times New Roman" w:eastAsiaTheme="majorEastAsia" w:hAnsi="Times New Roman" w:cstheme="majorBidi"/>
      <w:b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unhideWhenUsed/>
    <w:qFormat/>
    <w:rsid w:val="00011871"/>
    <w:pPr>
      <w:jc w:val="both"/>
    </w:pPr>
    <w:rPr>
      <w:rFonts w:ascii="Times New Roman" w:eastAsia="MS Mincho" w:hAnsi="Times New Roman" w:cstheme="minorBidi"/>
      <w:sz w:val="20"/>
      <w:szCs w:val="24"/>
    </w:rPr>
  </w:style>
  <w:style w:type="character" w:customStyle="1" w:styleId="TextodenotaderodapChar">
    <w:name w:val="Texto de nota de rodapé Char"/>
    <w:basedOn w:val="Fontepargpadro"/>
    <w:link w:val="Textodenotaderodap"/>
    <w:rsid w:val="00011871"/>
    <w:rPr>
      <w:rFonts w:ascii="Times New Roman" w:hAnsi="Times New Roman"/>
      <w:sz w:val="20"/>
    </w:rPr>
  </w:style>
  <w:style w:type="paragraph" w:styleId="Corpodetexto">
    <w:name w:val="Body Text"/>
    <w:basedOn w:val="Normal"/>
    <w:link w:val="CorpodetextoChar"/>
    <w:rsid w:val="00B21603"/>
    <w:pPr>
      <w:spacing w:before="120" w:line="360" w:lineRule="auto"/>
      <w:ind w:firstLine="1701"/>
      <w:jc w:val="both"/>
    </w:pPr>
    <w:rPr>
      <w:rFonts w:ascii="Times New Roman" w:eastAsia="Times New Roman" w:hAnsi="Times New Roman"/>
      <w:szCs w:val="24"/>
      <w:lang w:val="en-US"/>
    </w:rPr>
  </w:style>
  <w:style w:type="character" w:customStyle="1" w:styleId="CorpodetextoChar">
    <w:name w:val="Corpo de texto Char"/>
    <w:basedOn w:val="Fontepargpadro"/>
    <w:link w:val="Corpodetexto"/>
    <w:rsid w:val="00B21603"/>
    <w:rPr>
      <w:rFonts w:ascii="Times New Roman" w:eastAsia="Times New Roman" w:hAnsi="Times New Roman" w:cs="Times New Roman"/>
      <w:lang w:val="en-US"/>
    </w:rPr>
  </w:style>
  <w:style w:type="paragraph" w:styleId="Primeirorecuodecorpodetexto">
    <w:name w:val="Body Text First Indent"/>
    <w:basedOn w:val="Corpodetexto"/>
    <w:link w:val="PrimeirorecuodecorpodetextoChar"/>
    <w:autoRedefine/>
    <w:uiPriority w:val="99"/>
    <w:unhideWhenUsed/>
    <w:qFormat/>
    <w:rsid w:val="00B51C52"/>
    <w:pPr>
      <w:spacing w:before="0"/>
    </w:pPr>
    <w:rPr>
      <w:rFonts w:eastAsia="MS Mincho"/>
      <w:b/>
      <w:bCs/>
      <w:sz w:val="20"/>
      <w:vertAlign w:val="superscript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uiPriority w:val="99"/>
    <w:rsid w:val="00B51C52"/>
    <w:rPr>
      <w:rFonts w:ascii="Times New Roman" w:eastAsia="MS Mincho" w:hAnsi="Times New Roman" w:cs="Times New Roman"/>
      <w:b/>
      <w:bCs/>
      <w:sz w:val="20"/>
      <w:szCs w:val="20"/>
      <w:vertAlign w:val="superscript"/>
      <w:lang w:val="en-US"/>
    </w:rPr>
  </w:style>
  <w:style w:type="paragraph" w:styleId="Rodap">
    <w:name w:val="footer"/>
    <w:basedOn w:val="Normal"/>
    <w:link w:val="RodapChar"/>
    <w:autoRedefine/>
    <w:uiPriority w:val="99"/>
    <w:qFormat/>
    <w:rsid w:val="00B51C52"/>
    <w:pPr>
      <w:tabs>
        <w:tab w:val="center" w:pos="4320"/>
        <w:tab w:val="right" w:pos="8640"/>
      </w:tabs>
      <w:spacing w:line="360" w:lineRule="auto"/>
      <w:ind w:firstLine="1701"/>
      <w:jc w:val="both"/>
    </w:pPr>
    <w:rPr>
      <w:rFonts w:ascii="Times New Roman" w:eastAsia="MS Mincho" w:hAnsi="Times New Roman"/>
      <w:sz w:val="20"/>
      <w:szCs w:val="20"/>
      <w:vertAlign w:val="superscript"/>
    </w:rPr>
  </w:style>
  <w:style w:type="character" w:customStyle="1" w:styleId="RodapChar">
    <w:name w:val="Rodapé Char"/>
    <w:basedOn w:val="Fontepargpadro"/>
    <w:link w:val="Rodap"/>
    <w:uiPriority w:val="99"/>
    <w:rsid w:val="00B51C52"/>
    <w:rPr>
      <w:rFonts w:ascii="Times New Roman" w:eastAsia="MS Mincho" w:hAnsi="Times New Roman" w:cs="Times New Roman"/>
      <w:sz w:val="20"/>
      <w:szCs w:val="20"/>
      <w:vertAlign w:val="superscript"/>
    </w:rPr>
  </w:style>
  <w:style w:type="paragraph" w:customStyle="1" w:styleId="Notaderodap">
    <w:name w:val="Nota de rodapé"/>
    <w:basedOn w:val="Textodenotadefim"/>
    <w:next w:val="Textodenotaderodap"/>
    <w:qFormat/>
    <w:rsid w:val="00A3648C"/>
    <w:pPr>
      <w:spacing w:line="240" w:lineRule="auto"/>
    </w:pPr>
    <w:rPr>
      <w:rFonts w:cs="Times New Roman"/>
      <w:sz w:val="20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B719D9"/>
    <w:pPr>
      <w:spacing w:line="360" w:lineRule="auto"/>
      <w:jc w:val="both"/>
    </w:pPr>
    <w:rPr>
      <w:rFonts w:ascii="Times New Roman" w:eastAsia="MS Mincho" w:hAnsi="Times New Roman" w:cs="Cambria"/>
      <w:szCs w:val="24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B719D9"/>
    <w:rPr>
      <w:rFonts w:ascii="Times New Roman" w:hAnsi="Times New Roman"/>
    </w:rPr>
  </w:style>
  <w:style w:type="paragraph" w:customStyle="1" w:styleId="rodape">
    <w:name w:val="rodape"/>
    <w:basedOn w:val="Notaderodap"/>
    <w:autoRedefine/>
    <w:qFormat/>
    <w:rsid w:val="00A3648C"/>
  </w:style>
  <w:style w:type="paragraph" w:customStyle="1" w:styleId="Rodape0">
    <w:name w:val="Rodape"/>
    <w:basedOn w:val="Normal"/>
    <w:qFormat/>
    <w:rsid w:val="00A3648C"/>
    <w:pPr>
      <w:spacing w:line="360" w:lineRule="auto"/>
      <w:jc w:val="both"/>
    </w:pPr>
    <w:rPr>
      <w:rFonts w:ascii="Times New Roman" w:eastAsia="MS Mincho" w:hAnsi="Times New Roman" w:cs="Cambria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632E09"/>
    <w:rPr>
      <w:rFonts w:ascii="Times New Roman" w:eastAsiaTheme="majorEastAsia" w:hAnsi="Times New Roman" w:cstheme="majorBidi"/>
      <w:b/>
      <w:bCs/>
      <w:smallCaps/>
    </w:rPr>
  </w:style>
  <w:style w:type="character" w:customStyle="1" w:styleId="Ttulo2Char">
    <w:name w:val="Título 2 Char"/>
    <w:basedOn w:val="Fontepargpadro"/>
    <w:link w:val="Ttulo2"/>
    <w:uiPriority w:val="9"/>
    <w:rsid w:val="00A3648C"/>
    <w:rPr>
      <w:rFonts w:ascii="Times New Roman" w:eastAsiaTheme="majorEastAsia" w:hAnsi="Times New Roman" w:cstheme="majorBidi"/>
      <w:b/>
      <w:bCs/>
      <w:szCs w:val="26"/>
    </w:rPr>
  </w:style>
  <w:style w:type="character" w:styleId="Refdenotaderodap">
    <w:name w:val="footnote reference"/>
    <w:basedOn w:val="TextodenotaderodapChar"/>
    <w:autoRedefine/>
    <w:uiPriority w:val="99"/>
    <w:qFormat/>
    <w:rsid w:val="00F93D8E"/>
    <w:rPr>
      <w:rFonts w:ascii="Times New Roman" w:eastAsia="MS Mincho" w:hAnsi="Times New Roman" w:cs="Cambria"/>
      <w:sz w:val="20"/>
      <w:szCs w:val="20"/>
      <w:vertAlign w:val="superscript"/>
    </w:rPr>
  </w:style>
  <w:style w:type="paragraph" w:styleId="Citao">
    <w:name w:val="Quote"/>
    <w:basedOn w:val="Primeirorecuodecorpodetexto"/>
    <w:next w:val="Normal"/>
    <w:link w:val="CitaoChar"/>
    <w:uiPriority w:val="29"/>
    <w:qFormat/>
    <w:rsid w:val="00B54B47"/>
    <w:pPr>
      <w:spacing w:line="240" w:lineRule="auto"/>
      <w:ind w:left="2268" w:firstLine="0"/>
    </w:pPr>
    <w:rPr>
      <w:rFonts w:cs="Cambria"/>
      <w:b w:val="0"/>
      <w:bCs w:val="0"/>
      <w:szCs w:val="20"/>
      <w:vertAlign w:val="baseline"/>
    </w:rPr>
  </w:style>
  <w:style w:type="character" w:customStyle="1" w:styleId="CitaoChar">
    <w:name w:val="Citação Char"/>
    <w:basedOn w:val="Fontepargpadro"/>
    <w:link w:val="Citao"/>
    <w:uiPriority w:val="29"/>
    <w:rsid w:val="00B54B47"/>
    <w:rPr>
      <w:rFonts w:ascii="Times New Roman" w:hAnsi="Times New Roman" w:cs="Cambria"/>
      <w:sz w:val="20"/>
      <w:szCs w:val="20"/>
      <w:lang w:val="en-US"/>
    </w:rPr>
  </w:style>
  <w:style w:type="character" w:customStyle="1" w:styleId="Ttulo3Char">
    <w:name w:val="Título 3 Char"/>
    <w:basedOn w:val="Fontepargpadro"/>
    <w:link w:val="Ttulo3"/>
    <w:uiPriority w:val="9"/>
    <w:rsid w:val="00A3648C"/>
    <w:rPr>
      <w:rFonts w:ascii="Times New Roman" w:eastAsiaTheme="majorEastAsia" w:hAnsi="Times New Roman" w:cstheme="majorBidi"/>
      <w:b/>
      <w:bCs/>
    </w:rPr>
  </w:style>
  <w:style w:type="character" w:customStyle="1" w:styleId="Ttulo4Char">
    <w:name w:val="Título 4 Char"/>
    <w:basedOn w:val="Fontepargpadro"/>
    <w:link w:val="Ttulo4"/>
    <w:uiPriority w:val="9"/>
    <w:rsid w:val="00A3648C"/>
    <w:rPr>
      <w:rFonts w:ascii="Times New Roman" w:eastAsiaTheme="majorEastAsia" w:hAnsi="Times New Roman" w:cstheme="majorBidi"/>
      <w:b/>
      <w:bCs/>
      <w:iCs/>
    </w:rPr>
  </w:style>
  <w:style w:type="character" w:customStyle="1" w:styleId="Ttulo5Char">
    <w:name w:val="Título 5 Char"/>
    <w:basedOn w:val="Fontepargpadro"/>
    <w:link w:val="Ttulo5"/>
    <w:uiPriority w:val="9"/>
    <w:rsid w:val="00A3648C"/>
    <w:rPr>
      <w:rFonts w:ascii="Times New Roman" w:eastAsiaTheme="majorEastAsia" w:hAnsi="Times New Roman" w:cstheme="majorBidi"/>
      <w:b/>
    </w:rPr>
  </w:style>
  <w:style w:type="paragraph" w:styleId="Legenda">
    <w:name w:val="caption"/>
    <w:basedOn w:val="Normal"/>
    <w:next w:val="Normal"/>
    <w:uiPriority w:val="35"/>
    <w:unhideWhenUsed/>
    <w:qFormat/>
    <w:rsid w:val="000E717C"/>
    <w:pPr>
      <w:spacing w:after="200"/>
      <w:jc w:val="both"/>
    </w:pPr>
    <w:rPr>
      <w:rFonts w:ascii="Times New Roman" w:eastAsia="MS Mincho" w:hAnsi="Times New Roman" w:cs="Cambria"/>
      <w:bCs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E112C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E112C"/>
    <w:rPr>
      <w:rFonts w:ascii="Calibri" w:eastAsiaTheme="minorHAns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1988</Words>
  <Characters>10737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Supremo Tribunal Federal</Company>
  <LinksUpToDate>false</LinksUpToDate>
  <CharactersWithSpaces>12700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Refosco</dc:creator>
  <cp:lastModifiedBy>Renata de Souza Monteiro</cp:lastModifiedBy>
  <cp:revision>6</cp:revision>
  <cp:lastPrinted>2018-11-29T20:25:00Z</cp:lastPrinted>
  <dcterms:created xsi:type="dcterms:W3CDTF">2018-11-28T16:08:00Z</dcterms:created>
  <dcterms:modified xsi:type="dcterms:W3CDTF">2019-08-05T15:31:00Z</dcterms:modified>
</cp:coreProperties>
</file>