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88922" w14:textId="77777777" w:rsidR="003654BF" w:rsidRPr="003654BF" w:rsidRDefault="003654BF" w:rsidP="003654BF">
      <w:pPr>
        <w:jc w:val="center"/>
        <w:rPr>
          <w:rFonts w:ascii="Times New Roman" w:hAnsi="Times New Roman"/>
          <w:b/>
          <w:sz w:val="24"/>
          <w:szCs w:val="24"/>
        </w:rPr>
      </w:pPr>
      <w:r w:rsidRPr="003654BF">
        <w:rPr>
          <w:rFonts w:ascii="Times New Roman" w:hAnsi="Times New Roman"/>
          <w:b/>
          <w:sz w:val="24"/>
          <w:szCs w:val="24"/>
        </w:rPr>
        <w:t>Curso de Formação Continuada O JUIZ E OS DESAFIOS DO PROCESSO CIVIL COLETIVO</w:t>
      </w:r>
    </w:p>
    <w:p w14:paraId="0CB1B732" w14:textId="77777777" w:rsidR="003654BF" w:rsidRPr="003654BF" w:rsidRDefault="003654BF" w:rsidP="003654BF">
      <w:pPr>
        <w:jc w:val="center"/>
        <w:rPr>
          <w:rFonts w:ascii="Times New Roman" w:hAnsi="Times New Roman"/>
          <w:b/>
          <w:sz w:val="24"/>
          <w:szCs w:val="24"/>
        </w:rPr>
      </w:pPr>
    </w:p>
    <w:p w14:paraId="18CDA47A" w14:textId="77777777" w:rsidR="003654BF" w:rsidRPr="003654BF" w:rsidRDefault="003654BF" w:rsidP="003654BF">
      <w:pPr>
        <w:jc w:val="center"/>
        <w:rPr>
          <w:rFonts w:ascii="Times New Roman" w:hAnsi="Times New Roman"/>
          <w:b/>
          <w:sz w:val="24"/>
          <w:szCs w:val="24"/>
        </w:rPr>
      </w:pPr>
    </w:p>
    <w:p w14:paraId="242B8F59" w14:textId="549AE865" w:rsidR="003654BF" w:rsidRPr="003654BF" w:rsidRDefault="003654BF" w:rsidP="003654BF">
      <w:pPr>
        <w:jc w:val="center"/>
        <w:rPr>
          <w:rFonts w:ascii="Times New Roman" w:hAnsi="Times New Roman"/>
          <w:sz w:val="24"/>
          <w:szCs w:val="24"/>
        </w:rPr>
      </w:pPr>
      <w:r>
        <w:rPr>
          <w:rFonts w:ascii="Times New Roman" w:hAnsi="Times New Roman"/>
          <w:sz w:val="24"/>
          <w:szCs w:val="24"/>
        </w:rPr>
        <w:t>7</w:t>
      </w:r>
      <w:r w:rsidRPr="003654BF">
        <w:rPr>
          <w:rFonts w:ascii="Times New Roman" w:hAnsi="Times New Roman"/>
          <w:sz w:val="24"/>
          <w:szCs w:val="24"/>
        </w:rPr>
        <w:t xml:space="preserve"> de dezembro de 2018</w:t>
      </w:r>
    </w:p>
    <w:p w14:paraId="3627178F" w14:textId="77777777" w:rsidR="003654BF" w:rsidRPr="003654BF" w:rsidRDefault="003654BF" w:rsidP="003654BF">
      <w:pPr>
        <w:rPr>
          <w:rFonts w:ascii="Times New Roman" w:hAnsi="Times New Roman"/>
          <w:sz w:val="24"/>
          <w:szCs w:val="24"/>
        </w:rPr>
      </w:pPr>
    </w:p>
    <w:p w14:paraId="0B28DDB8" w14:textId="44F5679B" w:rsidR="003654BF" w:rsidRPr="003654BF" w:rsidRDefault="003654BF" w:rsidP="003654BF">
      <w:pPr>
        <w:ind w:right="103"/>
        <w:rPr>
          <w:rFonts w:ascii="Times New Roman" w:hAnsi="Times New Roman"/>
          <w:sz w:val="24"/>
          <w:szCs w:val="24"/>
        </w:rPr>
      </w:pPr>
      <w:r>
        <w:rPr>
          <w:rFonts w:ascii="Times New Roman" w:hAnsi="Times New Roman"/>
          <w:sz w:val="24"/>
          <w:szCs w:val="24"/>
        </w:rPr>
        <w:t>OFICINA C</w:t>
      </w:r>
      <w:r w:rsidRPr="003654BF">
        <w:rPr>
          <w:rFonts w:ascii="Times New Roman" w:hAnsi="Times New Roman"/>
          <w:sz w:val="24"/>
          <w:szCs w:val="24"/>
        </w:rPr>
        <w:t xml:space="preserve"> – TEMA: LITIGÂNCIA ESTRATÉGICA EM DIREITOS HUMANOS: caso Vagas na Educação Infantil</w:t>
      </w:r>
      <w:r w:rsidRPr="003654BF">
        <w:rPr>
          <w:rFonts w:ascii="Times New Roman" w:hAnsi="Times New Roman"/>
          <w:i/>
          <w:sz w:val="24"/>
          <w:szCs w:val="24"/>
        </w:rPr>
        <w:t xml:space="preserve"> </w:t>
      </w:r>
    </w:p>
    <w:p w14:paraId="14BF94B4" w14:textId="42928C9B" w:rsidR="003654BF" w:rsidRPr="003654BF" w:rsidRDefault="003654BF" w:rsidP="003654BF">
      <w:pPr>
        <w:rPr>
          <w:rFonts w:ascii="Times New Roman" w:hAnsi="Times New Roman"/>
          <w:sz w:val="24"/>
          <w:szCs w:val="24"/>
        </w:rPr>
      </w:pPr>
    </w:p>
    <w:p w14:paraId="4BBEB5F6" w14:textId="5632E638" w:rsidR="003654BF" w:rsidRPr="003654BF" w:rsidRDefault="003654BF" w:rsidP="003654BF">
      <w:pPr>
        <w:ind w:right="103"/>
        <w:jc w:val="both"/>
        <w:rPr>
          <w:rFonts w:ascii="Times New Roman" w:hAnsi="Times New Roman"/>
          <w:sz w:val="24"/>
          <w:szCs w:val="24"/>
        </w:rPr>
      </w:pPr>
      <w:r>
        <w:rPr>
          <w:rFonts w:ascii="Times New Roman" w:hAnsi="Times New Roman"/>
          <w:sz w:val="24"/>
          <w:szCs w:val="24"/>
        </w:rPr>
        <w:t>FORMADORES FACILITADORES</w:t>
      </w:r>
    </w:p>
    <w:p w14:paraId="6E576F70" w14:textId="77777777" w:rsidR="003654BF" w:rsidRPr="003654BF" w:rsidRDefault="003654BF" w:rsidP="003654BF">
      <w:pPr>
        <w:ind w:right="103"/>
        <w:jc w:val="both"/>
        <w:rPr>
          <w:rFonts w:ascii="Times New Roman" w:hAnsi="Times New Roman"/>
          <w:sz w:val="24"/>
          <w:szCs w:val="24"/>
        </w:rPr>
      </w:pPr>
      <w:r w:rsidRPr="003654BF">
        <w:rPr>
          <w:rFonts w:ascii="Times New Roman" w:hAnsi="Times New Roman"/>
          <w:sz w:val="24"/>
          <w:szCs w:val="24"/>
        </w:rPr>
        <w:t xml:space="preserve">Juíza de Direito Helena Campos </w:t>
      </w:r>
      <w:proofErr w:type="spellStart"/>
      <w:r w:rsidRPr="003654BF">
        <w:rPr>
          <w:rFonts w:ascii="Times New Roman" w:hAnsi="Times New Roman"/>
          <w:sz w:val="24"/>
          <w:szCs w:val="24"/>
        </w:rPr>
        <w:t>Refosco</w:t>
      </w:r>
      <w:proofErr w:type="spellEnd"/>
      <w:r w:rsidRPr="003654BF">
        <w:rPr>
          <w:rFonts w:ascii="Times New Roman" w:hAnsi="Times New Roman"/>
          <w:sz w:val="24"/>
          <w:szCs w:val="24"/>
        </w:rPr>
        <w:t xml:space="preserve"> (TJSP)</w:t>
      </w:r>
    </w:p>
    <w:p w14:paraId="2B5B0A0F" w14:textId="2F629EDF" w:rsidR="003654BF" w:rsidRPr="003654BF" w:rsidRDefault="003654BF" w:rsidP="003654BF">
      <w:pPr>
        <w:ind w:right="103"/>
        <w:jc w:val="both"/>
        <w:rPr>
          <w:rFonts w:ascii="Times New Roman" w:hAnsi="Times New Roman"/>
          <w:sz w:val="24"/>
          <w:szCs w:val="24"/>
        </w:rPr>
      </w:pPr>
      <w:r w:rsidRPr="003654BF">
        <w:rPr>
          <w:rFonts w:ascii="Times New Roman" w:hAnsi="Times New Roman"/>
          <w:sz w:val="24"/>
          <w:szCs w:val="24"/>
        </w:rPr>
        <w:t>Juiz Federal Pedro Felipe de Oliveira Santos (TRF1</w:t>
      </w:r>
      <w:r w:rsidR="00F016BD">
        <w:rPr>
          <w:rFonts w:ascii="Times New Roman" w:hAnsi="Times New Roman"/>
          <w:sz w:val="24"/>
          <w:szCs w:val="24"/>
        </w:rPr>
        <w:t xml:space="preserve"> - Piauí</w:t>
      </w:r>
      <w:r w:rsidRPr="003654BF">
        <w:rPr>
          <w:rFonts w:ascii="Times New Roman" w:hAnsi="Times New Roman"/>
          <w:sz w:val="24"/>
          <w:szCs w:val="24"/>
        </w:rPr>
        <w:t>)</w:t>
      </w:r>
    </w:p>
    <w:p w14:paraId="76A91787" w14:textId="77777777" w:rsidR="003654BF" w:rsidRPr="003654BF" w:rsidRDefault="003654BF" w:rsidP="00193381">
      <w:pPr>
        <w:jc w:val="both"/>
        <w:rPr>
          <w:rFonts w:ascii="Times New Roman" w:hAnsi="Times New Roman"/>
          <w:sz w:val="24"/>
          <w:szCs w:val="24"/>
        </w:rPr>
      </w:pPr>
    </w:p>
    <w:p w14:paraId="39915C2B" w14:textId="77777777" w:rsidR="003654BF" w:rsidRPr="003654BF" w:rsidRDefault="003654BF" w:rsidP="00193381">
      <w:pPr>
        <w:jc w:val="both"/>
        <w:rPr>
          <w:rFonts w:ascii="Times New Roman" w:hAnsi="Times New Roman"/>
          <w:sz w:val="24"/>
          <w:szCs w:val="24"/>
        </w:rPr>
      </w:pPr>
    </w:p>
    <w:p w14:paraId="62FD23F5" w14:textId="77777777" w:rsidR="00C7713B" w:rsidRPr="003654BF" w:rsidRDefault="00C7713B" w:rsidP="00193381">
      <w:pPr>
        <w:jc w:val="both"/>
        <w:rPr>
          <w:rFonts w:ascii="Times New Roman" w:hAnsi="Times New Roman"/>
          <w:sz w:val="24"/>
          <w:szCs w:val="24"/>
        </w:rPr>
      </w:pPr>
      <w:r w:rsidRPr="003654BF">
        <w:rPr>
          <w:rFonts w:ascii="Times New Roman" w:hAnsi="Times New Roman"/>
          <w:sz w:val="24"/>
          <w:szCs w:val="24"/>
        </w:rPr>
        <w:t>Descrição</w:t>
      </w:r>
    </w:p>
    <w:p w14:paraId="24594838" w14:textId="77777777" w:rsidR="00845F45" w:rsidRPr="003654BF" w:rsidRDefault="00845F45" w:rsidP="00193381">
      <w:pPr>
        <w:jc w:val="both"/>
        <w:rPr>
          <w:rFonts w:ascii="Times New Roman" w:hAnsi="Times New Roman"/>
          <w:sz w:val="24"/>
          <w:szCs w:val="24"/>
        </w:rPr>
      </w:pPr>
    </w:p>
    <w:p w14:paraId="10345A7F" w14:textId="77777777" w:rsidR="00845F45" w:rsidRPr="003654BF" w:rsidRDefault="002803E5" w:rsidP="00193381">
      <w:pPr>
        <w:jc w:val="both"/>
        <w:rPr>
          <w:rFonts w:ascii="Times New Roman" w:hAnsi="Times New Roman"/>
          <w:sz w:val="24"/>
          <w:szCs w:val="24"/>
        </w:rPr>
      </w:pPr>
      <w:r w:rsidRPr="003654BF">
        <w:rPr>
          <w:rFonts w:ascii="Times New Roman" w:hAnsi="Times New Roman"/>
          <w:sz w:val="24"/>
          <w:szCs w:val="24"/>
        </w:rPr>
        <w:t>Trata-se de estudo de caso sobre a litigiosidade repetitiva cuja tese jurídica diz respeito</w:t>
      </w:r>
      <w:r w:rsidR="00845F45" w:rsidRPr="003654BF">
        <w:rPr>
          <w:rFonts w:ascii="Times New Roman" w:hAnsi="Times New Roman"/>
          <w:sz w:val="24"/>
          <w:szCs w:val="24"/>
        </w:rPr>
        <w:t xml:space="preserve"> ao direito subjetivo de crianças à educação infantil</w:t>
      </w:r>
      <w:r w:rsidRPr="003654BF">
        <w:rPr>
          <w:rFonts w:ascii="Times New Roman" w:hAnsi="Times New Roman"/>
          <w:sz w:val="24"/>
          <w:szCs w:val="24"/>
        </w:rPr>
        <w:t xml:space="preserve"> no âmbito da Justiça Estadual de São Paulo</w:t>
      </w:r>
      <w:r w:rsidR="00845F45" w:rsidRPr="003654BF">
        <w:rPr>
          <w:rFonts w:ascii="Times New Roman" w:hAnsi="Times New Roman"/>
          <w:sz w:val="24"/>
          <w:szCs w:val="24"/>
        </w:rPr>
        <w:t>. Nas ações individuais, a criança, seus representantes legais ou o Ministério Público pleiteiam vagas em creches e pré-escolas contra o litigante habitual, o Poder Público Municipal. Nas ações coletivas, o legitimado coletivo pleiteia vagas em creches e pré-escolas, bem como outras obrigações de fazer, contra o mesmo litigante habitual. O EC3 visa à compreensão da evolução da litigiosidade relativa à educação infantil na cidade de São Paulo, com ênfase na adoção</w:t>
      </w:r>
      <w:r w:rsidR="003556B5" w:rsidRPr="003654BF">
        <w:rPr>
          <w:rFonts w:ascii="Times New Roman" w:hAnsi="Times New Roman"/>
          <w:sz w:val="24"/>
          <w:szCs w:val="24"/>
        </w:rPr>
        <w:t xml:space="preserve"> de procedimentos inovadores na</w:t>
      </w:r>
      <w:r w:rsidR="00845F45" w:rsidRPr="003654BF">
        <w:rPr>
          <w:rFonts w:ascii="Times New Roman" w:hAnsi="Times New Roman"/>
          <w:sz w:val="24"/>
          <w:szCs w:val="24"/>
        </w:rPr>
        <w:t xml:space="preserve"> </w:t>
      </w:r>
      <w:r w:rsidR="003556B5" w:rsidRPr="003654BF">
        <w:rPr>
          <w:rFonts w:ascii="Times New Roman" w:hAnsi="Times New Roman"/>
          <w:sz w:val="24"/>
          <w:szCs w:val="24"/>
        </w:rPr>
        <w:t xml:space="preserve">ação civil </w:t>
      </w:r>
      <w:r w:rsidR="00845F45" w:rsidRPr="003654BF">
        <w:rPr>
          <w:rFonts w:ascii="Times New Roman" w:hAnsi="Times New Roman"/>
          <w:sz w:val="24"/>
          <w:szCs w:val="24"/>
        </w:rPr>
        <w:t>pública 0150735-64.2008.8.26.0002</w:t>
      </w:r>
      <w:r w:rsidR="003556B5" w:rsidRPr="003654BF">
        <w:rPr>
          <w:rFonts w:ascii="Times New Roman" w:hAnsi="Times New Roman"/>
          <w:sz w:val="24"/>
          <w:szCs w:val="24"/>
        </w:rPr>
        <w:t>.</w:t>
      </w:r>
    </w:p>
    <w:p w14:paraId="43807EEC" w14:textId="77777777" w:rsidR="006B4260" w:rsidRPr="003654BF" w:rsidRDefault="006B4260" w:rsidP="00193381">
      <w:pPr>
        <w:jc w:val="both"/>
        <w:rPr>
          <w:rFonts w:ascii="Times New Roman" w:hAnsi="Times New Roman"/>
          <w:sz w:val="24"/>
          <w:szCs w:val="24"/>
        </w:rPr>
      </w:pPr>
    </w:p>
    <w:p w14:paraId="3391F3D5" w14:textId="77777777" w:rsidR="003556B5" w:rsidRPr="003654BF" w:rsidRDefault="003556B5" w:rsidP="00193381">
      <w:pPr>
        <w:jc w:val="both"/>
        <w:rPr>
          <w:rFonts w:ascii="Times New Roman" w:hAnsi="Times New Roman"/>
          <w:sz w:val="24"/>
          <w:szCs w:val="24"/>
        </w:rPr>
      </w:pPr>
    </w:p>
    <w:p w14:paraId="014412E4" w14:textId="77777777" w:rsidR="00C7713B" w:rsidRPr="003654BF" w:rsidRDefault="00C7713B" w:rsidP="00193381">
      <w:pPr>
        <w:jc w:val="both"/>
        <w:rPr>
          <w:rFonts w:ascii="Times New Roman" w:hAnsi="Times New Roman"/>
          <w:sz w:val="24"/>
          <w:szCs w:val="24"/>
        </w:rPr>
      </w:pPr>
      <w:r w:rsidRPr="003654BF">
        <w:rPr>
          <w:rFonts w:ascii="Times New Roman" w:hAnsi="Times New Roman"/>
          <w:sz w:val="24"/>
          <w:szCs w:val="24"/>
        </w:rPr>
        <w:t>Questões</w:t>
      </w:r>
    </w:p>
    <w:p w14:paraId="2B956682" w14:textId="77777777" w:rsidR="00D75457" w:rsidRPr="003654BF" w:rsidRDefault="00D75457" w:rsidP="00193381">
      <w:pPr>
        <w:jc w:val="both"/>
        <w:rPr>
          <w:rFonts w:ascii="Times New Roman" w:hAnsi="Times New Roman"/>
          <w:sz w:val="24"/>
          <w:szCs w:val="24"/>
        </w:rPr>
      </w:pPr>
    </w:p>
    <w:p w14:paraId="1D8A4D1D" w14:textId="77777777" w:rsidR="00722E57" w:rsidRPr="003654BF" w:rsidRDefault="00955E46" w:rsidP="00193381">
      <w:pPr>
        <w:jc w:val="both"/>
        <w:rPr>
          <w:rFonts w:ascii="Times New Roman" w:hAnsi="Times New Roman"/>
          <w:sz w:val="24"/>
          <w:szCs w:val="24"/>
        </w:rPr>
      </w:pPr>
      <w:r w:rsidRPr="003654BF">
        <w:rPr>
          <w:rFonts w:ascii="Times New Roman" w:hAnsi="Times New Roman"/>
          <w:sz w:val="24"/>
          <w:szCs w:val="24"/>
        </w:rPr>
        <w:t xml:space="preserve">1) </w:t>
      </w:r>
      <w:r w:rsidR="00722E57" w:rsidRPr="003654BF">
        <w:rPr>
          <w:rFonts w:ascii="Times New Roman" w:hAnsi="Times New Roman"/>
          <w:sz w:val="24"/>
          <w:szCs w:val="24"/>
        </w:rPr>
        <w:t xml:space="preserve">Ações coletivas educacionais costumam ser procedentes </w:t>
      </w:r>
      <w:r w:rsidRPr="003654BF">
        <w:rPr>
          <w:rFonts w:ascii="Times New Roman" w:hAnsi="Times New Roman"/>
          <w:sz w:val="24"/>
          <w:szCs w:val="24"/>
        </w:rPr>
        <w:t xml:space="preserve">apenas </w:t>
      </w:r>
      <w:r w:rsidR="00722E57" w:rsidRPr="003654BF">
        <w:rPr>
          <w:rFonts w:ascii="Times New Roman" w:hAnsi="Times New Roman"/>
          <w:sz w:val="24"/>
          <w:szCs w:val="24"/>
        </w:rPr>
        <w:t xml:space="preserve">quando pleiteiam direitos de crianças especificamente nomeadas na inicial, entendendo-se como genéricos e inexequíveis os pedidos baseados em projeções populacionais ou outros métodos de cálculo da demanda. </w:t>
      </w:r>
      <w:r w:rsidRPr="003654BF">
        <w:rPr>
          <w:rFonts w:ascii="Times New Roman" w:hAnsi="Times New Roman"/>
          <w:sz w:val="24"/>
          <w:szCs w:val="24"/>
        </w:rPr>
        <w:t xml:space="preserve">Um dos diferenciais da ação coletiva objeto do estudo de caso foi o fato de ter sido especialmente bem instruída, contando até mesmo com relatório do </w:t>
      </w:r>
      <w:r w:rsidR="00722E57" w:rsidRPr="003654BF">
        <w:rPr>
          <w:rFonts w:ascii="Times New Roman" w:hAnsi="Times New Roman"/>
          <w:sz w:val="24"/>
          <w:szCs w:val="24"/>
        </w:rPr>
        <w:t>Tribunal de Contas do Município reconheceu: (i) a não utilização integral dos recursos do Fundo de Manutenção e Desenvolvimento da Educação Básica e de Valorização dos Profissionais da Educação (</w:t>
      </w:r>
      <w:proofErr w:type="spellStart"/>
      <w:r w:rsidR="00722E57" w:rsidRPr="003654BF">
        <w:rPr>
          <w:rFonts w:ascii="Times New Roman" w:hAnsi="Times New Roman"/>
          <w:sz w:val="24"/>
          <w:szCs w:val="24"/>
        </w:rPr>
        <w:t>Funde</w:t>
      </w:r>
      <w:r w:rsidR="00AF6150" w:rsidRPr="003654BF">
        <w:rPr>
          <w:rFonts w:ascii="Times New Roman" w:hAnsi="Times New Roman"/>
          <w:sz w:val="24"/>
          <w:szCs w:val="24"/>
        </w:rPr>
        <w:t>b</w:t>
      </w:r>
      <w:proofErr w:type="spellEnd"/>
      <w:r w:rsidR="00AF6150" w:rsidRPr="003654BF">
        <w:rPr>
          <w:rFonts w:ascii="Times New Roman" w:hAnsi="Times New Roman"/>
          <w:sz w:val="24"/>
          <w:szCs w:val="24"/>
        </w:rPr>
        <w:t xml:space="preserve">) pelo Município de São Paulo; </w:t>
      </w:r>
      <w:r w:rsidR="00722E57" w:rsidRPr="003654BF">
        <w:rPr>
          <w:rFonts w:ascii="Times New Roman" w:hAnsi="Times New Roman"/>
          <w:sz w:val="24"/>
          <w:szCs w:val="24"/>
        </w:rPr>
        <w:t>(</w:t>
      </w:r>
      <w:proofErr w:type="spellStart"/>
      <w:r w:rsidR="00722E57" w:rsidRPr="003654BF">
        <w:rPr>
          <w:rFonts w:ascii="Times New Roman" w:hAnsi="Times New Roman"/>
          <w:sz w:val="24"/>
          <w:szCs w:val="24"/>
        </w:rPr>
        <w:t>ii</w:t>
      </w:r>
      <w:proofErr w:type="spellEnd"/>
      <w:r w:rsidR="00722E57" w:rsidRPr="003654BF">
        <w:rPr>
          <w:rFonts w:ascii="Times New Roman" w:hAnsi="Times New Roman"/>
          <w:sz w:val="24"/>
          <w:szCs w:val="24"/>
        </w:rPr>
        <w:t>) a inclusão indevida de gastos com servidores inativos no cômputo do percentual constitucional mínimo de investimentos em manutenção e desenvolvimento do ensino, previsto no artigo 212 da Constituição; (</w:t>
      </w:r>
      <w:proofErr w:type="spellStart"/>
      <w:r w:rsidR="00722E57" w:rsidRPr="003654BF">
        <w:rPr>
          <w:rFonts w:ascii="Times New Roman" w:hAnsi="Times New Roman"/>
          <w:sz w:val="24"/>
          <w:szCs w:val="24"/>
        </w:rPr>
        <w:t>iii</w:t>
      </w:r>
      <w:proofErr w:type="spellEnd"/>
      <w:r w:rsidR="00722E57" w:rsidRPr="003654BF">
        <w:rPr>
          <w:rFonts w:ascii="Times New Roman" w:hAnsi="Times New Roman"/>
          <w:sz w:val="24"/>
          <w:szCs w:val="24"/>
        </w:rPr>
        <w:t xml:space="preserve">) o descumprimento das metas de construção e reforma de equipamentos de educação infantil do Plano Plurianual 2006-2009 (Lei Municipal 14.123/2005); tudo a demonstrar que a ausência de vagas suficientes para atender à demanda não era derivada da falta de recursos financeiros. </w:t>
      </w:r>
    </w:p>
    <w:p w14:paraId="5DBD263D" w14:textId="77777777" w:rsidR="00AF6150" w:rsidRPr="003654BF" w:rsidRDefault="00AF6150" w:rsidP="00193381">
      <w:pPr>
        <w:jc w:val="both"/>
        <w:rPr>
          <w:rFonts w:ascii="Times New Roman" w:hAnsi="Times New Roman"/>
          <w:sz w:val="24"/>
          <w:szCs w:val="24"/>
        </w:rPr>
      </w:pPr>
    </w:p>
    <w:p w14:paraId="3C70EC68" w14:textId="77777777" w:rsidR="00AF6150" w:rsidRPr="003654BF" w:rsidRDefault="00AF6150" w:rsidP="00193381">
      <w:pPr>
        <w:jc w:val="both"/>
        <w:rPr>
          <w:rFonts w:ascii="Times New Roman" w:hAnsi="Times New Roman"/>
          <w:sz w:val="24"/>
          <w:szCs w:val="24"/>
        </w:rPr>
      </w:pPr>
      <w:r w:rsidRPr="003654BF">
        <w:rPr>
          <w:rFonts w:ascii="Times New Roman" w:hAnsi="Times New Roman"/>
          <w:sz w:val="24"/>
          <w:szCs w:val="24"/>
        </w:rPr>
        <w:lastRenderedPageBreak/>
        <w:t xml:space="preserve">Este caso corrobora a assertiva de que a adequada instrução probatória das ações coletivas é essencial para seu bom julgamento e sua efetividade. </w:t>
      </w:r>
    </w:p>
    <w:p w14:paraId="532A25B3" w14:textId="77777777" w:rsidR="00AF6150" w:rsidRPr="003654BF" w:rsidRDefault="00AF6150" w:rsidP="00193381">
      <w:pPr>
        <w:jc w:val="both"/>
        <w:rPr>
          <w:rFonts w:ascii="Times New Roman" w:hAnsi="Times New Roman"/>
          <w:sz w:val="24"/>
          <w:szCs w:val="24"/>
        </w:rPr>
      </w:pPr>
    </w:p>
    <w:p w14:paraId="12F52EA7" w14:textId="77777777" w:rsidR="00AF6150" w:rsidRPr="003654BF" w:rsidRDefault="00AF6150" w:rsidP="00193381">
      <w:pPr>
        <w:jc w:val="both"/>
        <w:rPr>
          <w:rFonts w:ascii="Times New Roman" w:hAnsi="Times New Roman"/>
          <w:sz w:val="24"/>
          <w:szCs w:val="24"/>
        </w:rPr>
      </w:pPr>
      <w:r w:rsidRPr="003654BF">
        <w:rPr>
          <w:rFonts w:ascii="Times New Roman" w:hAnsi="Times New Roman"/>
          <w:sz w:val="24"/>
          <w:szCs w:val="24"/>
        </w:rPr>
        <w:t xml:space="preserve">Proposta: Refletir sobre </w:t>
      </w:r>
      <w:r w:rsidR="00BA7CEB" w:rsidRPr="003654BF">
        <w:rPr>
          <w:rFonts w:ascii="Times New Roman" w:hAnsi="Times New Roman"/>
          <w:sz w:val="24"/>
          <w:szCs w:val="24"/>
        </w:rPr>
        <w:t>como o juiz pode colaborar na boa instrução probatória, notadamente na interface com o tribunal de contas e outros órgãos públicos e privados.</w:t>
      </w:r>
    </w:p>
    <w:p w14:paraId="630B8259" w14:textId="77777777" w:rsidR="00BA7CEB" w:rsidRPr="003654BF" w:rsidRDefault="00BA7CEB" w:rsidP="00193381">
      <w:pPr>
        <w:jc w:val="both"/>
        <w:rPr>
          <w:rFonts w:ascii="Times New Roman" w:hAnsi="Times New Roman"/>
          <w:sz w:val="24"/>
          <w:szCs w:val="24"/>
        </w:rPr>
      </w:pPr>
    </w:p>
    <w:p w14:paraId="4B948DB0" w14:textId="77777777" w:rsidR="00BA7CEB" w:rsidRPr="003654BF" w:rsidRDefault="00BA7CEB" w:rsidP="00193381">
      <w:pPr>
        <w:jc w:val="both"/>
        <w:rPr>
          <w:rFonts w:ascii="Times New Roman" w:hAnsi="Times New Roman"/>
          <w:sz w:val="24"/>
          <w:szCs w:val="24"/>
        </w:rPr>
      </w:pPr>
      <w:r w:rsidRPr="003654BF">
        <w:rPr>
          <w:rFonts w:ascii="Times New Roman" w:hAnsi="Times New Roman"/>
          <w:sz w:val="24"/>
          <w:szCs w:val="24"/>
        </w:rPr>
        <w:t xml:space="preserve">2) A ação </w:t>
      </w:r>
      <w:r w:rsidR="00C81C1D" w:rsidRPr="003654BF">
        <w:rPr>
          <w:rFonts w:ascii="Times New Roman" w:hAnsi="Times New Roman"/>
          <w:sz w:val="24"/>
          <w:szCs w:val="24"/>
        </w:rPr>
        <w:t xml:space="preserve">coletiva </w:t>
      </w:r>
      <w:r w:rsidRPr="003654BF">
        <w:rPr>
          <w:rFonts w:ascii="Times New Roman" w:hAnsi="Times New Roman"/>
          <w:sz w:val="24"/>
          <w:szCs w:val="24"/>
        </w:rPr>
        <w:t xml:space="preserve">foi </w:t>
      </w:r>
      <w:r w:rsidR="006955B8" w:rsidRPr="003654BF">
        <w:rPr>
          <w:rFonts w:ascii="Times New Roman" w:hAnsi="Times New Roman"/>
          <w:sz w:val="24"/>
          <w:szCs w:val="24"/>
        </w:rPr>
        <w:t xml:space="preserve">julgada improcedente em primeira instância, por ofensa à separação de poderes. </w:t>
      </w:r>
      <w:r w:rsidR="00AA0BDB" w:rsidRPr="003654BF">
        <w:rPr>
          <w:rFonts w:ascii="Times New Roman" w:hAnsi="Times New Roman"/>
          <w:sz w:val="24"/>
          <w:szCs w:val="24"/>
        </w:rPr>
        <w:t>Processado o recurso de apelação interposto pelas autoras, em segunda instância, o julgamento foi adiado para a realização de sessão de conciliação, que depois, a pedido das autoras, foi convertida em audiência pública, à vista da relevância social do caso.</w:t>
      </w:r>
      <w:r w:rsidR="00C01A64" w:rsidRPr="003654BF">
        <w:rPr>
          <w:rFonts w:ascii="Times New Roman" w:hAnsi="Times New Roman"/>
          <w:sz w:val="24"/>
          <w:szCs w:val="24"/>
        </w:rPr>
        <w:t xml:space="preserve"> A audiência pública contou com </w:t>
      </w:r>
      <w:r w:rsidR="00CD003A" w:rsidRPr="003654BF">
        <w:rPr>
          <w:rFonts w:ascii="Times New Roman" w:hAnsi="Times New Roman"/>
          <w:sz w:val="24"/>
          <w:szCs w:val="24"/>
        </w:rPr>
        <w:t xml:space="preserve">grande divulgação midiática </w:t>
      </w:r>
    </w:p>
    <w:p w14:paraId="1D0C6E5C" w14:textId="77777777" w:rsidR="00CD003A" w:rsidRPr="003654BF" w:rsidRDefault="00CD003A" w:rsidP="00193381">
      <w:pPr>
        <w:jc w:val="both"/>
        <w:rPr>
          <w:rFonts w:ascii="Times New Roman" w:hAnsi="Times New Roman"/>
          <w:sz w:val="24"/>
          <w:szCs w:val="24"/>
        </w:rPr>
      </w:pPr>
    </w:p>
    <w:p w14:paraId="00F27599" w14:textId="3B95FC7C" w:rsidR="00CD003A" w:rsidRPr="003654BF" w:rsidRDefault="00CD003A" w:rsidP="00193381">
      <w:pPr>
        <w:jc w:val="both"/>
        <w:rPr>
          <w:rFonts w:ascii="Times New Roman" w:hAnsi="Times New Roman"/>
          <w:sz w:val="24"/>
          <w:szCs w:val="24"/>
        </w:rPr>
      </w:pPr>
      <w:r w:rsidRPr="003654BF">
        <w:rPr>
          <w:rFonts w:ascii="Times New Roman" w:hAnsi="Times New Roman"/>
          <w:sz w:val="24"/>
          <w:szCs w:val="24"/>
        </w:rPr>
        <w:t xml:space="preserve">Proposta: refletir </w:t>
      </w:r>
      <w:r w:rsidR="00B35DE2" w:rsidRPr="003654BF">
        <w:rPr>
          <w:rFonts w:ascii="Times New Roman" w:hAnsi="Times New Roman"/>
          <w:sz w:val="24"/>
          <w:szCs w:val="24"/>
        </w:rPr>
        <w:t xml:space="preserve">sobre (i) quais </w:t>
      </w:r>
      <w:r w:rsidRPr="003654BF">
        <w:rPr>
          <w:rFonts w:ascii="Times New Roman" w:hAnsi="Times New Roman"/>
          <w:sz w:val="24"/>
          <w:szCs w:val="24"/>
        </w:rPr>
        <w:t>as situações em que é interessante designar audiência pública, (</w:t>
      </w:r>
      <w:proofErr w:type="spellStart"/>
      <w:r w:rsidRPr="003654BF">
        <w:rPr>
          <w:rFonts w:ascii="Times New Roman" w:hAnsi="Times New Roman"/>
          <w:sz w:val="24"/>
          <w:szCs w:val="24"/>
        </w:rPr>
        <w:t>ii</w:t>
      </w:r>
      <w:proofErr w:type="spellEnd"/>
      <w:r w:rsidRPr="003654BF">
        <w:rPr>
          <w:rFonts w:ascii="Times New Roman" w:hAnsi="Times New Roman"/>
          <w:sz w:val="24"/>
          <w:szCs w:val="24"/>
        </w:rPr>
        <w:t>) quais são as condições</w:t>
      </w:r>
      <w:r w:rsidR="00B35DE2" w:rsidRPr="003654BF">
        <w:rPr>
          <w:rFonts w:ascii="Times New Roman" w:hAnsi="Times New Roman"/>
          <w:sz w:val="24"/>
          <w:szCs w:val="24"/>
        </w:rPr>
        <w:t xml:space="preserve"> (inclusive materiais)</w:t>
      </w:r>
      <w:r w:rsidRPr="003654BF">
        <w:rPr>
          <w:rFonts w:ascii="Times New Roman" w:hAnsi="Times New Roman"/>
          <w:sz w:val="24"/>
          <w:szCs w:val="24"/>
        </w:rPr>
        <w:t xml:space="preserve"> para que</w:t>
      </w:r>
      <w:r w:rsidR="00B35DE2" w:rsidRPr="003654BF">
        <w:rPr>
          <w:rFonts w:ascii="Times New Roman" w:hAnsi="Times New Roman"/>
          <w:sz w:val="24"/>
          <w:szCs w:val="24"/>
        </w:rPr>
        <w:t xml:space="preserve"> ela seja </w:t>
      </w:r>
      <w:r w:rsidR="00F016BD" w:rsidRPr="003654BF">
        <w:rPr>
          <w:rFonts w:ascii="Times New Roman" w:hAnsi="Times New Roman"/>
          <w:sz w:val="24"/>
          <w:szCs w:val="24"/>
        </w:rPr>
        <w:t>bem-sucedida</w:t>
      </w:r>
      <w:r w:rsidR="00B35DE2" w:rsidRPr="003654BF">
        <w:rPr>
          <w:rFonts w:ascii="Times New Roman" w:hAnsi="Times New Roman"/>
          <w:sz w:val="24"/>
          <w:szCs w:val="24"/>
        </w:rPr>
        <w:t xml:space="preserve"> e (</w:t>
      </w:r>
      <w:proofErr w:type="spellStart"/>
      <w:r w:rsidR="00B35DE2" w:rsidRPr="003654BF">
        <w:rPr>
          <w:rFonts w:ascii="Times New Roman" w:hAnsi="Times New Roman"/>
          <w:sz w:val="24"/>
          <w:szCs w:val="24"/>
        </w:rPr>
        <w:t>iii</w:t>
      </w:r>
      <w:proofErr w:type="spellEnd"/>
      <w:r w:rsidR="00B35DE2" w:rsidRPr="003654BF">
        <w:rPr>
          <w:rFonts w:ascii="Times New Roman" w:hAnsi="Times New Roman"/>
          <w:sz w:val="24"/>
          <w:szCs w:val="24"/>
        </w:rPr>
        <w:t xml:space="preserve">) caso o interesse da mídia seja </w:t>
      </w:r>
      <w:r w:rsidR="00F631CC" w:rsidRPr="003654BF">
        <w:rPr>
          <w:rFonts w:ascii="Times New Roman" w:hAnsi="Times New Roman"/>
          <w:sz w:val="24"/>
          <w:szCs w:val="24"/>
        </w:rPr>
        <w:t xml:space="preserve">uma dessas condições, </w:t>
      </w:r>
      <w:r w:rsidRPr="003654BF">
        <w:rPr>
          <w:rFonts w:ascii="Times New Roman" w:hAnsi="Times New Roman"/>
          <w:sz w:val="24"/>
          <w:szCs w:val="24"/>
        </w:rPr>
        <w:t xml:space="preserve">como </w:t>
      </w:r>
      <w:r w:rsidR="00B35DE2" w:rsidRPr="003654BF">
        <w:rPr>
          <w:rFonts w:ascii="Times New Roman" w:hAnsi="Times New Roman"/>
          <w:sz w:val="24"/>
          <w:szCs w:val="24"/>
        </w:rPr>
        <w:t>despert</w:t>
      </w:r>
      <w:r w:rsidR="00F631CC" w:rsidRPr="003654BF">
        <w:rPr>
          <w:rFonts w:ascii="Times New Roman" w:hAnsi="Times New Roman"/>
          <w:sz w:val="24"/>
          <w:szCs w:val="24"/>
        </w:rPr>
        <w:t>á-lo.</w:t>
      </w:r>
      <w:r w:rsidR="00B35DE2" w:rsidRPr="003654BF">
        <w:rPr>
          <w:rFonts w:ascii="Times New Roman" w:hAnsi="Times New Roman"/>
          <w:sz w:val="24"/>
          <w:szCs w:val="24"/>
        </w:rPr>
        <w:t xml:space="preserve"> </w:t>
      </w:r>
    </w:p>
    <w:p w14:paraId="70962E91" w14:textId="77777777" w:rsidR="00C01A64" w:rsidRPr="003654BF" w:rsidRDefault="00C01A64" w:rsidP="00193381">
      <w:pPr>
        <w:jc w:val="both"/>
        <w:rPr>
          <w:rFonts w:ascii="Times New Roman" w:hAnsi="Times New Roman"/>
          <w:sz w:val="24"/>
          <w:szCs w:val="24"/>
        </w:rPr>
      </w:pPr>
    </w:p>
    <w:p w14:paraId="4C857586" w14:textId="77777777" w:rsidR="00C01A64" w:rsidRPr="003654BF" w:rsidRDefault="00C01A64" w:rsidP="00193381">
      <w:pPr>
        <w:jc w:val="both"/>
        <w:rPr>
          <w:rFonts w:ascii="Times New Roman" w:hAnsi="Times New Roman"/>
          <w:sz w:val="24"/>
          <w:szCs w:val="24"/>
        </w:rPr>
      </w:pPr>
    </w:p>
    <w:p w14:paraId="36FA7D02" w14:textId="15C84311" w:rsidR="00C01A64" w:rsidRPr="003654BF" w:rsidRDefault="00C01A64" w:rsidP="00193381">
      <w:pPr>
        <w:jc w:val="both"/>
        <w:rPr>
          <w:rFonts w:ascii="Times New Roman" w:hAnsi="Times New Roman"/>
          <w:sz w:val="24"/>
          <w:szCs w:val="24"/>
        </w:rPr>
      </w:pPr>
      <w:proofErr w:type="gramStart"/>
      <w:r w:rsidRPr="003654BF">
        <w:rPr>
          <w:rFonts w:ascii="Times New Roman" w:hAnsi="Times New Roman"/>
          <w:sz w:val="24"/>
          <w:szCs w:val="24"/>
        </w:rPr>
        <w:t>3)</w:t>
      </w:r>
      <w:r w:rsidR="00F016BD">
        <w:rPr>
          <w:rFonts w:ascii="Times New Roman" w:hAnsi="Times New Roman"/>
          <w:sz w:val="24"/>
          <w:szCs w:val="24"/>
        </w:rPr>
        <w:t xml:space="preserve"> </w:t>
      </w:r>
      <w:r w:rsidR="00F631CC" w:rsidRPr="003654BF">
        <w:rPr>
          <w:rFonts w:ascii="Times New Roman" w:hAnsi="Times New Roman"/>
          <w:sz w:val="24"/>
          <w:szCs w:val="24"/>
        </w:rPr>
        <w:t>Após</w:t>
      </w:r>
      <w:proofErr w:type="gramEnd"/>
      <w:r w:rsidR="00F631CC" w:rsidRPr="003654BF">
        <w:rPr>
          <w:rFonts w:ascii="Times New Roman" w:hAnsi="Times New Roman"/>
          <w:sz w:val="24"/>
          <w:szCs w:val="24"/>
        </w:rPr>
        <w:t xml:space="preserve"> a improcedência</w:t>
      </w:r>
      <w:r w:rsidR="006D281E" w:rsidRPr="003654BF">
        <w:rPr>
          <w:rFonts w:ascii="Times New Roman" w:hAnsi="Times New Roman"/>
          <w:sz w:val="24"/>
          <w:szCs w:val="24"/>
        </w:rPr>
        <w:t xml:space="preserve"> em primeira instância</w:t>
      </w:r>
      <w:r w:rsidR="00F631CC" w:rsidRPr="003654BF">
        <w:rPr>
          <w:rFonts w:ascii="Times New Roman" w:hAnsi="Times New Roman"/>
          <w:sz w:val="24"/>
          <w:szCs w:val="24"/>
        </w:rPr>
        <w:t xml:space="preserve">, houve apelação das autoras, </w:t>
      </w:r>
      <w:r w:rsidR="00B8760C" w:rsidRPr="003654BF">
        <w:rPr>
          <w:rFonts w:ascii="Times New Roman" w:hAnsi="Times New Roman"/>
          <w:sz w:val="24"/>
          <w:szCs w:val="24"/>
        </w:rPr>
        <w:t xml:space="preserve">a qual foi provida, para firmar </w:t>
      </w:r>
      <w:r w:rsidRPr="003654BF">
        <w:rPr>
          <w:rFonts w:ascii="Times New Roman" w:hAnsi="Times New Roman"/>
          <w:sz w:val="24"/>
          <w:szCs w:val="24"/>
        </w:rPr>
        <w:t>ser dever do Poder Público Municipal proporcionar educação infantil aos munícipes, que têm direito público subjetivo à educação por força de disposição constitucional. O acórdão enfatizou a má gestão municipal na implementação do direito à educação infantil, ressaltou o compromisso de criação de 150 mil vagas na rede municipal constante do Programa de Metas do novo Prefeito e o descumprimento do patamar mínimo de atendimento à demanda constante do PNE.</w:t>
      </w:r>
      <w:r w:rsidRPr="003654BF">
        <w:rPr>
          <w:rStyle w:val="Refdenotaderodap"/>
          <w:rFonts w:cs="Times New Roman"/>
          <w:sz w:val="24"/>
          <w:szCs w:val="24"/>
        </w:rPr>
        <w:footnoteReference w:id="1"/>
      </w:r>
      <w:r w:rsidRPr="003654BF">
        <w:rPr>
          <w:rFonts w:ascii="Times New Roman" w:hAnsi="Times New Roman"/>
          <w:sz w:val="24"/>
          <w:szCs w:val="24"/>
        </w:rPr>
        <w:t xml:space="preserve"> Ele ainda reconheceu que o acolhimento de ações individuais sobre o tema acabou por gerar alteração da fila de espera e superlotação das unidades, estando o problema a demandar solução coletiva.</w:t>
      </w:r>
    </w:p>
    <w:p w14:paraId="429A7BB6" w14:textId="77777777" w:rsidR="00D25906" w:rsidRPr="003654BF" w:rsidRDefault="00D25906" w:rsidP="00193381">
      <w:pPr>
        <w:jc w:val="both"/>
        <w:rPr>
          <w:rFonts w:ascii="Times New Roman" w:hAnsi="Times New Roman"/>
          <w:sz w:val="24"/>
          <w:szCs w:val="24"/>
        </w:rPr>
      </w:pPr>
    </w:p>
    <w:p w14:paraId="3B88C19F" w14:textId="77777777" w:rsidR="00D25906" w:rsidRPr="003654BF" w:rsidRDefault="00D25906" w:rsidP="00193381">
      <w:pPr>
        <w:jc w:val="both"/>
        <w:rPr>
          <w:rFonts w:ascii="Times New Roman" w:hAnsi="Times New Roman"/>
          <w:sz w:val="24"/>
          <w:szCs w:val="24"/>
        </w:rPr>
      </w:pPr>
      <w:r w:rsidRPr="003654BF">
        <w:rPr>
          <w:rFonts w:ascii="Times New Roman" w:hAnsi="Times New Roman"/>
          <w:sz w:val="24"/>
          <w:szCs w:val="24"/>
        </w:rPr>
        <w:t>Em embargos de declaração (p. 2072/2097), o Município sustentou (i) a ausência de correlação entre o pedido e o julgado, salientando que a condenação à criação de 150 mil vagas seria decorrente do Programa de Metas 2013-2016, o qual não continha determinação de atendimento de metade da meta quantitativa no prazo de 18 meses e (</w:t>
      </w:r>
      <w:proofErr w:type="spellStart"/>
      <w:r w:rsidRPr="003654BF">
        <w:rPr>
          <w:rFonts w:ascii="Times New Roman" w:hAnsi="Times New Roman"/>
          <w:sz w:val="24"/>
          <w:szCs w:val="24"/>
        </w:rPr>
        <w:t>ii</w:t>
      </w:r>
      <w:proofErr w:type="spellEnd"/>
      <w:r w:rsidRPr="003654BF">
        <w:rPr>
          <w:rFonts w:ascii="Times New Roman" w:hAnsi="Times New Roman"/>
          <w:sz w:val="24"/>
          <w:szCs w:val="24"/>
        </w:rPr>
        <w:t>) que o Tribunal de Justiça deveria explicitar quais as consequências da sobreposição de decisões de ações individuais e coletivas pendentes e futuras, e esclarecer se deveriam ser suspensas as ações e execuções pendentes em matéria de creche.</w:t>
      </w:r>
    </w:p>
    <w:p w14:paraId="0878B5B3" w14:textId="77777777" w:rsidR="00D100C1" w:rsidRPr="003654BF" w:rsidRDefault="00D100C1" w:rsidP="00193381">
      <w:pPr>
        <w:jc w:val="both"/>
        <w:rPr>
          <w:rFonts w:ascii="Times New Roman" w:hAnsi="Times New Roman"/>
          <w:sz w:val="24"/>
          <w:szCs w:val="24"/>
        </w:rPr>
      </w:pPr>
    </w:p>
    <w:p w14:paraId="19DF4BB4" w14:textId="77777777" w:rsidR="008317DE" w:rsidRPr="003654BF" w:rsidRDefault="00D100C1" w:rsidP="00193381">
      <w:pPr>
        <w:jc w:val="both"/>
        <w:rPr>
          <w:rFonts w:ascii="Times New Roman" w:hAnsi="Times New Roman"/>
          <w:sz w:val="24"/>
          <w:szCs w:val="24"/>
        </w:rPr>
      </w:pPr>
      <w:r w:rsidRPr="003654BF">
        <w:rPr>
          <w:rFonts w:ascii="Times New Roman" w:hAnsi="Times New Roman"/>
          <w:sz w:val="24"/>
          <w:szCs w:val="24"/>
        </w:rPr>
        <w:t>Proposta: Refletir sobre</w:t>
      </w:r>
      <w:r w:rsidR="008317DE" w:rsidRPr="003654BF">
        <w:rPr>
          <w:rFonts w:ascii="Times New Roman" w:hAnsi="Times New Roman"/>
          <w:sz w:val="24"/>
          <w:szCs w:val="24"/>
        </w:rPr>
        <w:t>:</w:t>
      </w:r>
      <w:r w:rsidRPr="003654BF">
        <w:rPr>
          <w:rFonts w:ascii="Times New Roman" w:hAnsi="Times New Roman"/>
          <w:sz w:val="24"/>
          <w:szCs w:val="24"/>
        </w:rPr>
        <w:t xml:space="preserve"> </w:t>
      </w:r>
      <w:r w:rsidR="00D25906" w:rsidRPr="003654BF">
        <w:rPr>
          <w:rFonts w:ascii="Times New Roman" w:hAnsi="Times New Roman"/>
          <w:sz w:val="24"/>
          <w:szCs w:val="24"/>
        </w:rPr>
        <w:t xml:space="preserve">(i) </w:t>
      </w:r>
      <w:r w:rsidRPr="003654BF">
        <w:rPr>
          <w:rFonts w:ascii="Times New Roman" w:hAnsi="Times New Roman"/>
          <w:sz w:val="24"/>
          <w:szCs w:val="24"/>
        </w:rPr>
        <w:t xml:space="preserve">a vinculação do gestor ao programa de governo por meio do qual se elegeu; </w:t>
      </w:r>
      <w:r w:rsidR="00D25906" w:rsidRPr="003654BF">
        <w:rPr>
          <w:rFonts w:ascii="Times New Roman" w:hAnsi="Times New Roman"/>
          <w:sz w:val="24"/>
          <w:szCs w:val="24"/>
        </w:rPr>
        <w:t>(</w:t>
      </w:r>
      <w:proofErr w:type="spellStart"/>
      <w:r w:rsidR="00D25906" w:rsidRPr="003654BF">
        <w:rPr>
          <w:rFonts w:ascii="Times New Roman" w:hAnsi="Times New Roman"/>
          <w:sz w:val="24"/>
          <w:szCs w:val="24"/>
        </w:rPr>
        <w:t>ii</w:t>
      </w:r>
      <w:proofErr w:type="spellEnd"/>
      <w:r w:rsidR="00D25906" w:rsidRPr="003654BF">
        <w:rPr>
          <w:rFonts w:ascii="Times New Roman" w:hAnsi="Times New Roman"/>
          <w:sz w:val="24"/>
          <w:szCs w:val="24"/>
        </w:rPr>
        <w:t>) a vinculação</w:t>
      </w:r>
      <w:r w:rsidR="002E2E21" w:rsidRPr="003654BF">
        <w:rPr>
          <w:rFonts w:ascii="Times New Roman" w:hAnsi="Times New Roman"/>
          <w:sz w:val="24"/>
          <w:szCs w:val="24"/>
        </w:rPr>
        <w:t xml:space="preserve"> do juiz ao pedido no</w:t>
      </w:r>
      <w:r w:rsidR="00D25906" w:rsidRPr="003654BF">
        <w:rPr>
          <w:rFonts w:ascii="Times New Roman" w:hAnsi="Times New Roman"/>
          <w:sz w:val="24"/>
          <w:szCs w:val="24"/>
        </w:rPr>
        <w:t>s processos estruturais</w:t>
      </w:r>
      <w:r w:rsidR="007B0DDD" w:rsidRPr="003654BF">
        <w:rPr>
          <w:rFonts w:ascii="Times New Roman" w:hAnsi="Times New Roman"/>
          <w:sz w:val="24"/>
          <w:szCs w:val="24"/>
        </w:rPr>
        <w:t xml:space="preserve">; </w:t>
      </w:r>
    </w:p>
    <w:p w14:paraId="2667EA4B" w14:textId="77777777" w:rsidR="008317DE" w:rsidRPr="003654BF" w:rsidRDefault="008317DE" w:rsidP="00193381">
      <w:pPr>
        <w:pStyle w:val="Citao"/>
        <w:rPr>
          <w:rFonts w:cs="Times New Roman"/>
          <w:sz w:val="24"/>
          <w:szCs w:val="24"/>
        </w:rPr>
      </w:pPr>
    </w:p>
    <w:p w14:paraId="7B941808" w14:textId="77777777" w:rsidR="007B0DDD" w:rsidRPr="003654BF" w:rsidRDefault="007B0DDD" w:rsidP="00193381">
      <w:pPr>
        <w:jc w:val="both"/>
        <w:rPr>
          <w:rFonts w:ascii="Times New Roman" w:hAnsi="Times New Roman"/>
          <w:sz w:val="24"/>
          <w:szCs w:val="24"/>
        </w:rPr>
      </w:pPr>
    </w:p>
    <w:p w14:paraId="7B6AF479" w14:textId="77777777" w:rsidR="002E2E21" w:rsidRPr="003654BF" w:rsidRDefault="002E2E21" w:rsidP="00193381">
      <w:pPr>
        <w:jc w:val="both"/>
        <w:rPr>
          <w:rFonts w:ascii="Times New Roman" w:hAnsi="Times New Roman"/>
          <w:sz w:val="24"/>
          <w:szCs w:val="24"/>
        </w:rPr>
      </w:pPr>
    </w:p>
    <w:p w14:paraId="5131B2AD" w14:textId="77777777" w:rsidR="00CF0EDE" w:rsidRPr="003654BF" w:rsidRDefault="002E2E21" w:rsidP="00193381">
      <w:pPr>
        <w:jc w:val="both"/>
        <w:rPr>
          <w:rFonts w:ascii="Times New Roman" w:hAnsi="Times New Roman"/>
          <w:sz w:val="24"/>
          <w:szCs w:val="24"/>
        </w:rPr>
      </w:pPr>
      <w:r w:rsidRPr="003654BF">
        <w:rPr>
          <w:rFonts w:ascii="Times New Roman" w:hAnsi="Times New Roman"/>
          <w:sz w:val="24"/>
          <w:szCs w:val="24"/>
        </w:rPr>
        <w:t>4)</w:t>
      </w:r>
      <w:r w:rsidR="00CF0EDE" w:rsidRPr="003654BF">
        <w:rPr>
          <w:rFonts w:ascii="Times New Roman" w:hAnsi="Times New Roman"/>
          <w:sz w:val="24"/>
          <w:szCs w:val="24"/>
        </w:rPr>
        <w:t xml:space="preserve"> O acórdão considerou que a litigância individual não tem contribuído para a universalização da educação infantil, mas, principalmente, para a subversão de listas de espera e para a superlotação de unidades, com comprometimento de qualidade:</w:t>
      </w:r>
    </w:p>
    <w:p w14:paraId="7AA08643" w14:textId="77777777" w:rsidR="00CF0EDE" w:rsidRPr="003654BF" w:rsidRDefault="00CF0EDE" w:rsidP="00193381">
      <w:pPr>
        <w:ind w:firstLine="1701"/>
        <w:jc w:val="both"/>
        <w:rPr>
          <w:rFonts w:ascii="Times New Roman" w:hAnsi="Times New Roman"/>
          <w:sz w:val="24"/>
          <w:szCs w:val="24"/>
        </w:rPr>
      </w:pPr>
    </w:p>
    <w:p w14:paraId="7B4BBC5C" w14:textId="46B10ACE" w:rsidR="00CF0EDE" w:rsidRPr="003654BF" w:rsidRDefault="00CF0EDE" w:rsidP="00193381">
      <w:pPr>
        <w:jc w:val="both"/>
        <w:rPr>
          <w:rFonts w:ascii="Times New Roman" w:hAnsi="Times New Roman"/>
          <w:sz w:val="24"/>
          <w:szCs w:val="24"/>
        </w:rPr>
      </w:pPr>
      <w:r w:rsidRPr="003654BF">
        <w:rPr>
          <w:rFonts w:ascii="Times New Roman" w:hAnsi="Times New Roman"/>
          <w:sz w:val="24"/>
          <w:szCs w:val="24"/>
        </w:rPr>
        <w:t>“Este estado de coisas implicou a propositura de um sem número de ações, com pedidos de liminares muitas vezes deferidos, visando à matrícula em creche que, acolhidas – e não poderia ser diferente – desorganizaram por inteiro as filas de espera, fazendo exsurgir situação mais danosa ainda: os beneficiados pelas decisões judiciais não só alteram a composição da fila e, muitas vezes, são incluídos em salas já saturadas de estudantes, com evide</w:t>
      </w:r>
      <w:r w:rsidR="00F016BD">
        <w:rPr>
          <w:rFonts w:ascii="Times New Roman" w:hAnsi="Times New Roman"/>
          <w:sz w:val="24"/>
          <w:szCs w:val="24"/>
        </w:rPr>
        <w:t>nte prejuízo para o aprendizado</w:t>
      </w:r>
      <w:r w:rsidRPr="003654BF">
        <w:rPr>
          <w:rFonts w:ascii="Times New Roman" w:hAnsi="Times New Roman"/>
          <w:sz w:val="24"/>
          <w:szCs w:val="24"/>
        </w:rPr>
        <w:t>”</w:t>
      </w:r>
      <w:r w:rsidR="00F016BD">
        <w:rPr>
          <w:rFonts w:ascii="Times New Roman" w:hAnsi="Times New Roman"/>
          <w:sz w:val="24"/>
          <w:szCs w:val="24"/>
        </w:rPr>
        <w:t>.</w:t>
      </w:r>
      <w:bookmarkStart w:id="0" w:name="_GoBack"/>
      <w:bookmarkEnd w:id="0"/>
      <w:r w:rsidRPr="003654BF">
        <w:rPr>
          <w:rFonts w:ascii="Times New Roman" w:hAnsi="Times New Roman"/>
          <w:sz w:val="24"/>
          <w:szCs w:val="24"/>
        </w:rPr>
        <w:t xml:space="preserve"> </w:t>
      </w:r>
    </w:p>
    <w:p w14:paraId="238617B9" w14:textId="77777777" w:rsidR="00655831" w:rsidRPr="003654BF" w:rsidRDefault="00655831" w:rsidP="00193381">
      <w:pPr>
        <w:jc w:val="both"/>
        <w:rPr>
          <w:rFonts w:ascii="Times New Roman" w:hAnsi="Times New Roman"/>
          <w:sz w:val="24"/>
          <w:szCs w:val="24"/>
        </w:rPr>
      </w:pPr>
    </w:p>
    <w:p w14:paraId="6A48E940" w14:textId="77777777" w:rsidR="00655831" w:rsidRPr="003654BF" w:rsidRDefault="00655831" w:rsidP="00193381">
      <w:pPr>
        <w:jc w:val="both"/>
        <w:rPr>
          <w:rFonts w:ascii="Times New Roman" w:hAnsi="Times New Roman"/>
          <w:sz w:val="24"/>
          <w:szCs w:val="24"/>
        </w:rPr>
      </w:pPr>
      <w:r w:rsidRPr="003654BF">
        <w:rPr>
          <w:rFonts w:ascii="Times New Roman" w:hAnsi="Times New Roman"/>
          <w:sz w:val="24"/>
          <w:szCs w:val="24"/>
        </w:rPr>
        <w:t xml:space="preserve">O acórdão poderia ter determinado a suspensão das ações individuais até o encerramento do processo coletivo, invocando os precedentes do Superior Tribunal de Justiça. Igualmente seria possível que o Ministério Público e a Defensoria Pública tivessem, por iniciativa própria, como ocorreu no EC2, suspendido o ingresso de ações individuais, inclusive porque representantes dessas instituições passaram a acompanhar as </w:t>
      </w:r>
      <w:proofErr w:type="spellStart"/>
      <w:r w:rsidRPr="003654BF">
        <w:rPr>
          <w:rFonts w:ascii="Times New Roman" w:hAnsi="Times New Roman"/>
          <w:sz w:val="24"/>
          <w:szCs w:val="24"/>
        </w:rPr>
        <w:t>ACPs</w:t>
      </w:r>
      <w:proofErr w:type="spellEnd"/>
      <w:r w:rsidRPr="003654BF">
        <w:rPr>
          <w:rFonts w:ascii="Times New Roman" w:hAnsi="Times New Roman"/>
          <w:sz w:val="24"/>
          <w:szCs w:val="24"/>
        </w:rPr>
        <w:t>. Com isso, não só tramitariam mais rapidamente as ações coletivas, como a questão da inversão das filas administrativas estaria superada. No entanto, apesar do reconhecimento do problema, e até mesmo após ter o Município expressamente provocado decisão neste sentido nos embargos de declaração aos acórdãos, não se decidiu a respeito da suspensão das ações individuais e mesmo de outras ações coletivas referentes ao tema.</w:t>
      </w:r>
    </w:p>
    <w:p w14:paraId="0A291C50" w14:textId="77777777" w:rsidR="00CF0EDE" w:rsidRPr="003654BF" w:rsidRDefault="00CF0EDE" w:rsidP="00193381">
      <w:pPr>
        <w:jc w:val="both"/>
        <w:rPr>
          <w:rFonts w:ascii="Times New Roman" w:hAnsi="Times New Roman"/>
          <w:sz w:val="24"/>
          <w:szCs w:val="24"/>
        </w:rPr>
      </w:pPr>
    </w:p>
    <w:p w14:paraId="662FD74B" w14:textId="77777777" w:rsidR="00CF0EDE" w:rsidRPr="003654BF" w:rsidRDefault="00CF0EDE" w:rsidP="00193381">
      <w:pPr>
        <w:jc w:val="both"/>
        <w:rPr>
          <w:rFonts w:ascii="Times New Roman" w:hAnsi="Times New Roman"/>
          <w:sz w:val="24"/>
          <w:szCs w:val="24"/>
        </w:rPr>
      </w:pPr>
      <w:r w:rsidRPr="003654BF">
        <w:rPr>
          <w:rFonts w:ascii="Times New Roman" w:hAnsi="Times New Roman"/>
          <w:sz w:val="24"/>
          <w:szCs w:val="24"/>
        </w:rPr>
        <w:t>Proposta: Refletir sobre a</w:t>
      </w:r>
      <w:r w:rsidR="00543D78" w:rsidRPr="003654BF">
        <w:rPr>
          <w:rFonts w:ascii="Times New Roman" w:hAnsi="Times New Roman"/>
          <w:sz w:val="24"/>
          <w:szCs w:val="24"/>
        </w:rPr>
        <w:t xml:space="preserve"> possibilidade de</w:t>
      </w:r>
      <w:r w:rsidRPr="003654BF">
        <w:rPr>
          <w:rFonts w:ascii="Times New Roman" w:hAnsi="Times New Roman"/>
          <w:sz w:val="24"/>
          <w:szCs w:val="24"/>
        </w:rPr>
        <w:t xml:space="preserve"> suspensão</w:t>
      </w:r>
      <w:r w:rsidR="00543D78" w:rsidRPr="003654BF">
        <w:rPr>
          <w:rFonts w:ascii="Times New Roman" w:hAnsi="Times New Roman"/>
          <w:sz w:val="24"/>
          <w:szCs w:val="24"/>
        </w:rPr>
        <w:t xml:space="preserve"> dos processos individuais durante o</w:t>
      </w:r>
      <w:r w:rsidR="00775D9F" w:rsidRPr="003654BF">
        <w:rPr>
          <w:rFonts w:ascii="Times New Roman" w:hAnsi="Times New Roman"/>
          <w:sz w:val="24"/>
          <w:szCs w:val="24"/>
        </w:rPr>
        <w:t xml:space="preserve"> processamento e/ou execução de ações coletivas, bem como sobre o prazo de duração de </w:t>
      </w:r>
      <w:r w:rsidR="0015168D" w:rsidRPr="003654BF">
        <w:rPr>
          <w:rFonts w:ascii="Times New Roman" w:hAnsi="Times New Roman"/>
          <w:sz w:val="24"/>
          <w:szCs w:val="24"/>
        </w:rPr>
        <w:t xml:space="preserve">eventual </w:t>
      </w:r>
      <w:r w:rsidR="00775D9F" w:rsidRPr="003654BF">
        <w:rPr>
          <w:rFonts w:ascii="Times New Roman" w:hAnsi="Times New Roman"/>
          <w:sz w:val="24"/>
          <w:szCs w:val="24"/>
        </w:rPr>
        <w:t>suspensão</w:t>
      </w:r>
      <w:r w:rsidR="0015168D" w:rsidRPr="003654BF">
        <w:rPr>
          <w:rFonts w:ascii="Times New Roman" w:hAnsi="Times New Roman"/>
          <w:sz w:val="24"/>
          <w:szCs w:val="24"/>
        </w:rPr>
        <w:t>.</w:t>
      </w:r>
    </w:p>
    <w:p w14:paraId="546334DB" w14:textId="77777777" w:rsidR="00AF2666" w:rsidRPr="003654BF" w:rsidRDefault="00AF2666" w:rsidP="00193381">
      <w:pPr>
        <w:jc w:val="both"/>
        <w:rPr>
          <w:rFonts w:ascii="Times New Roman" w:hAnsi="Times New Roman"/>
          <w:sz w:val="24"/>
          <w:szCs w:val="24"/>
        </w:rPr>
      </w:pPr>
    </w:p>
    <w:p w14:paraId="7CEFA2E0" w14:textId="77777777" w:rsidR="00AF2666" w:rsidRPr="003654BF" w:rsidRDefault="00193381" w:rsidP="00193381">
      <w:pPr>
        <w:jc w:val="both"/>
        <w:rPr>
          <w:rFonts w:ascii="Times New Roman" w:hAnsi="Times New Roman"/>
          <w:sz w:val="24"/>
          <w:szCs w:val="24"/>
        </w:rPr>
      </w:pPr>
      <w:r w:rsidRPr="003654BF">
        <w:rPr>
          <w:rFonts w:ascii="Times New Roman" w:hAnsi="Times New Roman"/>
          <w:sz w:val="24"/>
          <w:szCs w:val="24"/>
        </w:rPr>
        <w:t>5</w:t>
      </w:r>
      <w:r w:rsidR="00AF2666" w:rsidRPr="003654BF">
        <w:rPr>
          <w:rFonts w:ascii="Times New Roman" w:hAnsi="Times New Roman"/>
          <w:sz w:val="24"/>
          <w:szCs w:val="24"/>
        </w:rPr>
        <w:t xml:space="preserve">) </w:t>
      </w:r>
      <w:r w:rsidR="00432912" w:rsidRPr="003654BF">
        <w:rPr>
          <w:rFonts w:ascii="Times New Roman" w:hAnsi="Times New Roman"/>
          <w:sz w:val="24"/>
          <w:szCs w:val="24"/>
        </w:rPr>
        <w:t xml:space="preserve">Lewis </w:t>
      </w:r>
      <w:proofErr w:type="spellStart"/>
      <w:r w:rsidR="00AF2666" w:rsidRPr="003654BF">
        <w:rPr>
          <w:rFonts w:ascii="Times New Roman" w:hAnsi="Times New Roman"/>
          <w:sz w:val="24"/>
          <w:szCs w:val="24"/>
        </w:rPr>
        <w:t>Sargentich</w:t>
      </w:r>
      <w:proofErr w:type="spellEnd"/>
      <w:r w:rsidR="00AF2666" w:rsidRPr="003654BF">
        <w:rPr>
          <w:rFonts w:ascii="Times New Roman" w:hAnsi="Times New Roman"/>
          <w:sz w:val="24"/>
          <w:szCs w:val="24"/>
        </w:rPr>
        <w:t xml:space="preserve"> </w:t>
      </w:r>
      <w:r w:rsidR="00432912" w:rsidRPr="003654BF">
        <w:rPr>
          <w:rFonts w:ascii="Times New Roman" w:hAnsi="Times New Roman"/>
          <w:sz w:val="24"/>
          <w:szCs w:val="24"/>
        </w:rPr>
        <w:t xml:space="preserve">sustenta que </w:t>
      </w:r>
      <w:r w:rsidR="00AF2666" w:rsidRPr="003654BF">
        <w:rPr>
          <w:rFonts w:ascii="Times New Roman" w:hAnsi="Times New Roman"/>
          <w:sz w:val="24"/>
          <w:szCs w:val="24"/>
        </w:rPr>
        <w:t>a complexidade é decorrência direta da necessidade de reordenar uma prática; assim, de nada adiantaria, e seria redundante, determinar meramente que a instituição ré cumpra a lei – o próprio fato de haver uma ação judicial a respeito já demonstraria que o simples comando legal é insuficiente para promover o respeito à lei (a</w:t>
      </w:r>
      <w:r w:rsidR="00AF2666" w:rsidRPr="003654BF">
        <w:rPr>
          <w:rFonts w:ascii="Times New Roman" w:hAnsi="Times New Roman"/>
          <w:i/>
          <w:sz w:val="24"/>
          <w:szCs w:val="24"/>
        </w:rPr>
        <w:t xml:space="preserve"> </w:t>
      </w:r>
      <w:proofErr w:type="spellStart"/>
      <w:r w:rsidR="00AF2666" w:rsidRPr="003654BF">
        <w:rPr>
          <w:rFonts w:ascii="Times New Roman" w:hAnsi="Times New Roman"/>
          <w:i/>
          <w:sz w:val="24"/>
          <w:szCs w:val="24"/>
        </w:rPr>
        <w:t>compliance</w:t>
      </w:r>
      <w:proofErr w:type="spellEnd"/>
      <w:r w:rsidR="00AF2666" w:rsidRPr="003654BF">
        <w:rPr>
          <w:rFonts w:ascii="Times New Roman" w:hAnsi="Times New Roman"/>
          <w:sz w:val="24"/>
          <w:szCs w:val="24"/>
        </w:rPr>
        <w:t xml:space="preserve">). A </w:t>
      </w:r>
      <w:proofErr w:type="spellStart"/>
      <w:r w:rsidR="00AF2666" w:rsidRPr="003654BF">
        <w:rPr>
          <w:rFonts w:ascii="Times New Roman" w:hAnsi="Times New Roman"/>
          <w:i/>
          <w:sz w:val="24"/>
          <w:szCs w:val="24"/>
        </w:rPr>
        <w:t>injuction</w:t>
      </w:r>
      <w:proofErr w:type="spellEnd"/>
      <w:r w:rsidR="00AF2666" w:rsidRPr="003654BF">
        <w:rPr>
          <w:rFonts w:ascii="Times New Roman" w:hAnsi="Times New Roman"/>
          <w:sz w:val="24"/>
          <w:szCs w:val="24"/>
        </w:rPr>
        <w:t xml:space="preserve">, assim, deve concretamente apontar o caminho, o plano, para a adequação normativa, pois deixar de fazê-lo, limitando-se a vagamente determinar a obediência à norma, seria patentemente ineficiente. É nisso que reside, para </w:t>
      </w:r>
      <w:proofErr w:type="spellStart"/>
      <w:r w:rsidR="00AF2666" w:rsidRPr="003654BF">
        <w:rPr>
          <w:rFonts w:ascii="Times New Roman" w:hAnsi="Times New Roman"/>
          <w:sz w:val="24"/>
          <w:szCs w:val="24"/>
        </w:rPr>
        <w:t>Sargentich</w:t>
      </w:r>
      <w:proofErr w:type="spellEnd"/>
      <w:r w:rsidR="00AF2666" w:rsidRPr="003654BF">
        <w:rPr>
          <w:rFonts w:ascii="Times New Roman" w:hAnsi="Times New Roman"/>
          <w:sz w:val="24"/>
          <w:szCs w:val="24"/>
        </w:rPr>
        <w:t>, o desafio da litigância coletiva: extrair de uma norma jurídica abstrata o comando para a reordenação concreta de uma prática afirmativa e sistemática. Em outras palavras, cabe ao juiz produzir não um tratado, mas uma determinação judicial concreta e eficaz, que contenha um plano de ação. Esse plano, cuja elaboração pode ser dialogada, ou pode mesmo ser apresentada pelo réu, deve sempre estar contemplado nas opções do juiz, para não privar as normas sistêmicas de exequibilidade.</w:t>
      </w:r>
    </w:p>
    <w:p w14:paraId="10486C1B" w14:textId="77777777" w:rsidR="00432912" w:rsidRPr="003654BF" w:rsidRDefault="00432912" w:rsidP="00193381">
      <w:pPr>
        <w:jc w:val="both"/>
        <w:rPr>
          <w:rFonts w:ascii="Times New Roman" w:hAnsi="Times New Roman"/>
          <w:sz w:val="24"/>
          <w:szCs w:val="24"/>
        </w:rPr>
      </w:pPr>
    </w:p>
    <w:p w14:paraId="4567FDAF" w14:textId="77777777" w:rsidR="00A67C9D" w:rsidRPr="003654BF" w:rsidRDefault="00432912" w:rsidP="00193381">
      <w:pPr>
        <w:jc w:val="both"/>
        <w:rPr>
          <w:rFonts w:ascii="Times New Roman" w:hAnsi="Times New Roman"/>
          <w:sz w:val="24"/>
          <w:szCs w:val="24"/>
        </w:rPr>
      </w:pPr>
      <w:r w:rsidRPr="003654BF">
        <w:rPr>
          <w:rFonts w:ascii="Times New Roman" w:hAnsi="Times New Roman"/>
          <w:sz w:val="24"/>
          <w:szCs w:val="24"/>
        </w:rPr>
        <w:t xml:space="preserve">No Estado de São Paulo, há </w:t>
      </w:r>
      <w:r w:rsidR="00E6231B" w:rsidRPr="003654BF">
        <w:rPr>
          <w:rFonts w:ascii="Times New Roman" w:hAnsi="Times New Roman"/>
          <w:sz w:val="24"/>
          <w:szCs w:val="24"/>
        </w:rPr>
        <w:t>um histórico de ações coletivas destituídas de efetividade, cujo fantasma sempre pairou sobre a ação objeto deste estudo.</w:t>
      </w:r>
      <w:r w:rsidR="00A67C9D" w:rsidRPr="003654BF">
        <w:rPr>
          <w:rFonts w:ascii="Times New Roman" w:hAnsi="Times New Roman"/>
          <w:sz w:val="24"/>
          <w:szCs w:val="24"/>
        </w:rPr>
        <w:t xml:space="preserve"> Houve uma grande ênfase no desafio da efetividade das </w:t>
      </w:r>
      <w:proofErr w:type="spellStart"/>
      <w:r w:rsidR="00A67C9D" w:rsidRPr="003654BF">
        <w:rPr>
          <w:rFonts w:ascii="Times New Roman" w:hAnsi="Times New Roman"/>
          <w:sz w:val="24"/>
          <w:szCs w:val="24"/>
        </w:rPr>
        <w:t>ACPs</w:t>
      </w:r>
      <w:proofErr w:type="spellEnd"/>
      <w:r w:rsidR="00A67C9D" w:rsidRPr="003654BF">
        <w:rPr>
          <w:rFonts w:ascii="Times New Roman" w:hAnsi="Times New Roman"/>
          <w:sz w:val="24"/>
          <w:szCs w:val="24"/>
        </w:rPr>
        <w:t xml:space="preserve"> nos debates realizados durante a audiência pública, em especial por integrantes do sistema de Justiça. Foram ressaltados os seguintes pontos: </w:t>
      </w:r>
    </w:p>
    <w:p w14:paraId="417BED0E" w14:textId="77777777" w:rsidR="00A67C9D" w:rsidRPr="003654BF" w:rsidRDefault="00A67C9D" w:rsidP="00193381">
      <w:pPr>
        <w:jc w:val="both"/>
        <w:rPr>
          <w:rFonts w:ascii="Times New Roman" w:hAnsi="Times New Roman"/>
          <w:sz w:val="24"/>
          <w:szCs w:val="24"/>
        </w:rPr>
      </w:pPr>
      <w:r w:rsidRPr="003654BF">
        <w:rPr>
          <w:rFonts w:ascii="Times New Roman" w:hAnsi="Times New Roman"/>
          <w:sz w:val="24"/>
          <w:szCs w:val="24"/>
        </w:rPr>
        <w:lastRenderedPageBreak/>
        <w:t>(i) insuficiência de mecanismos de coerção das ações coletivas referentes à educação infantil, o que acarreta o descumprimento das decisões judiciais;</w:t>
      </w:r>
    </w:p>
    <w:p w14:paraId="4A41FAB1" w14:textId="77777777" w:rsidR="00A67C9D" w:rsidRPr="003654BF" w:rsidRDefault="00A67C9D" w:rsidP="00193381">
      <w:pPr>
        <w:jc w:val="both"/>
        <w:rPr>
          <w:rFonts w:ascii="Times New Roman" w:hAnsi="Times New Roman"/>
          <w:sz w:val="24"/>
          <w:szCs w:val="24"/>
        </w:rPr>
      </w:pPr>
      <w:r w:rsidRPr="003654BF">
        <w:rPr>
          <w:rFonts w:ascii="Times New Roman" w:hAnsi="Times New Roman"/>
          <w:sz w:val="24"/>
          <w:szCs w:val="24"/>
        </w:rPr>
        <w:t>(</w:t>
      </w:r>
      <w:proofErr w:type="spellStart"/>
      <w:r w:rsidRPr="003654BF">
        <w:rPr>
          <w:rFonts w:ascii="Times New Roman" w:hAnsi="Times New Roman"/>
          <w:sz w:val="24"/>
          <w:szCs w:val="24"/>
        </w:rPr>
        <w:t>ii</w:t>
      </w:r>
      <w:proofErr w:type="spellEnd"/>
      <w:r w:rsidRPr="003654BF">
        <w:rPr>
          <w:rFonts w:ascii="Times New Roman" w:hAnsi="Times New Roman"/>
          <w:sz w:val="24"/>
          <w:szCs w:val="24"/>
        </w:rPr>
        <w:t>) inocuidade da sanção pecuniária contra os cofres públicos;</w:t>
      </w:r>
    </w:p>
    <w:p w14:paraId="603B3283" w14:textId="77777777" w:rsidR="00A67C9D" w:rsidRPr="003654BF" w:rsidRDefault="00A67C9D" w:rsidP="00193381">
      <w:pPr>
        <w:jc w:val="both"/>
        <w:rPr>
          <w:rFonts w:ascii="Times New Roman" w:hAnsi="Times New Roman"/>
          <w:sz w:val="24"/>
          <w:szCs w:val="24"/>
        </w:rPr>
      </w:pPr>
      <w:r w:rsidRPr="003654BF">
        <w:rPr>
          <w:rFonts w:ascii="Times New Roman" w:hAnsi="Times New Roman"/>
          <w:sz w:val="24"/>
          <w:szCs w:val="24"/>
        </w:rPr>
        <w:t>(</w:t>
      </w:r>
      <w:proofErr w:type="spellStart"/>
      <w:r w:rsidRPr="003654BF">
        <w:rPr>
          <w:rFonts w:ascii="Times New Roman" w:hAnsi="Times New Roman"/>
          <w:sz w:val="24"/>
          <w:szCs w:val="24"/>
        </w:rPr>
        <w:t>iii</w:t>
      </w:r>
      <w:proofErr w:type="spellEnd"/>
      <w:r w:rsidRPr="003654BF">
        <w:rPr>
          <w:rFonts w:ascii="Times New Roman" w:hAnsi="Times New Roman"/>
          <w:sz w:val="24"/>
          <w:szCs w:val="24"/>
        </w:rPr>
        <w:t>) necessidade de transparência do julgado, para permitir a cobrança de resultados pela própria sociedade;</w:t>
      </w:r>
    </w:p>
    <w:p w14:paraId="5A0DC01A" w14:textId="77777777" w:rsidR="00432912" w:rsidRPr="003654BF" w:rsidRDefault="00A67C9D" w:rsidP="00193381">
      <w:pPr>
        <w:jc w:val="both"/>
        <w:rPr>
          <w:rFonts w:ascii="Times New Roman" w:hAnsi="Times New Roman"/>
          <w:sz w:val="24"/>
          <w:szCs w:val="24"/>
        </w:rPr>
      </w:pPr>
      <w:r w:rsidRPr="003654BF">
        <w:rPr>
          <w:rFonts w:ascii="Times New Roman" w:hAnsi="Times New Roman"/>
          <w:sz w:val="24"/>
          <w:szCs w:val="24"/>
        </w:rPr>
        <w:t>(</w:t>
      </w:r>
      <w:proofErr w:type="spellStart"/>
      <w:r w:rsidRPr="003654BF">
        <w:rPr>
          <w:rFonts w:ascii="Times New Roman" w:hAnsi="Times New Roman"/>
          <w:sz w:val="24"/>
          <w:szCs w:val="24"/>
        </w:rPr>
        <w:t>iv</w:t>
      </w:r>
      <w:proofErr w:type="spellEnd"/>
      <w:r w:rsidRPr="003654BF">
        <w:rPr>
          <w:rFonts w:ascii="Times New Roman" w:hAnsi="Times New Roman"/>
          <w:sz w:val="24"/>
          <w:szCs w:val="24"/>
        </w:rPr>
        <w:t>) indispensabilidade de aprimoramento dos meios de coerção, devendo-se refletir sobre novos meios impositivos, tais como o sequestro de bens, o arranjo de verbas orçamentárias e o monitoramento dos julgados.</w:t>
      </w:r>
    </w:p>
    <w:p w14:paraId="5C8F9097" w14:textId="77777777" w:rsidR="00E6231B" w:rsidRPr="003654BF" w:rsidRDefault="00E6231B" w:rsidP="00193381">
      <w:pPr>
        <w:jc w:val="both"/>
        <w:rPr>
          <w:rFonts w:ascii="Times New Roman" w:hAnsi="Times New Roman"/>
          <w:sz w:val="24"/>
          <w:szCs w:val="24"/>
        </w:rPr>
      </w:pPr>
    </w:p>
    <w:p w14:paraId="0AAAE752" w14:textId="77777777" w:rsidR="00E6231B" w:rsidRPr="003654BF" w:rsidRDefault="00E6231B" w:rsidP="00193381">
      <w:pPr>
        <w:jc w:val="both"/>
        <w:rPr>
          <w:rFonts w:ascii="Times New Roman" w:hAnsi="Times New Roman"/>
          <w:sz w:val="24"/>
          <w:szCs w:val="24"/>
        </w:rPr>
      </w:pPr>
      <w:r w:rsidRPr="003654BF">
        <w:rPr>
          <w:rFonts w:ascii="Times New Roman" w:hAnsi="Times New Roman"/>
          <w:sz w:val="24"/>
          <w:szCs w:val="24"/>
        </w:rPr>
        <w:t>Para o acompanhamento administrativo determinado nos acórdãos das ações civis públicas, foi instaurado o Procedimento Administrativo CIJ 2014/00015960 na Coordenadoria da Infância e da Juventude do Tribunal de Justiça de São Paulo. Por decisão do Desembargador Coordenador de Infância e Juventude, foram designados representantes de associações e de órgãos do Estado (Ministério Público e Defensoria Pública) para assessoramento no processo de monitoramento do cumprimento das obrigações impostas ao Município.</w:t>
      </w:r>
    </w:p>
    <w:p w14:paraId="5978EEEF" w14:textId="77777777" w:rsidR="00E6231B" w:rsidRPr="003654BF" w:rsidRDefault="00E6231B" w:rsidP="00193381">
      <w:pPr>
        <w:jc w:val="both"/>
        <w:rPr>
          <w:rFonts w:ascii="Times New Roman" w:hAnsi="Times New Roman"/>
          <w:sz w:val="24"/>
          <w:szCs w:val="24"/>
        </w:rPr>
      </w:pPr>
    </w:p>
    <w:p w14:paraId="0F731EDE" w14:textId="77777777" w:rsidR="00E6231B" w:rsidRPr="003654BF" w:rsidRDefault="00E6231B" w:rsidP="00193381">
      <w:pPr>
        <w:jc w:val="both"/>
        <w:rPr>
          <w:rFonts w:ascii="Times New Roman" w:hAnsi="Times New Roman"/>
          <w:sz w:val="24"/>
          <w:szCs w:val="24"/>
        </w:rPr>
      </w:pPr>
      <w:r w:rsidRPr="003654BF">
        <w:rPr>
          <w:rFonts w:ascii="Times New Roman" w:hAnsi="Times New Roman"/>
          <w:sz w:val="24"/>
          <w:szCs w:val="24"/>
        </w:rPr>
        <w:t xml:space="preserve">Proposta: Refletir sobre </w:t>
      </w:r>
      <w:r w:rsidR="00702952" w:rsidRPr="003654BF">
        <w:rPr>
          <w:rFonts w:ascii="Times New Roman" w:hAnsi="Times New Roman"/>
          <w:sz w:val="24"/>
          <w:szCs w:val="24"/>
        </w:rPr>
        <w:t>instituição de processos de monitoramento de ações coletivas, bem como sobre a melhor forma de operacionaliz</w:t>
      </w:r>
      <w:r w:rsidR="00193381" w:rsidRPr="003654BF">
        <w:rPr>
          <w:rFonts w:ascii="Times New Roman" w:hAnsi="Times New Roman"/>
          <w:sz w:val="24"/>
          <w:szCs w:val="24"/>
        </w:rPr>
        <w:t>á</w:t>
      </w:r>
      <w:r w:rsidR="00702952" w:rsidRPr="003654BF">
        <w:rPr>
          <w:rFonts w:ascii="Times New Roman" w:hAnsi="Times New Roman"/>
          <w:sz w:val="24"/>
          <w:szCs w:val="24"/>
        </w:rPr>
        <w:t xml:space="preserve">-los. </w:t>
      </w:r>
    </w:p>
    <w:p w14:paraId="4E73EE88" w14:textId="77777777" w:rsidR="00E6231B" w:rsidRPr="003654BF" w:rsidRDefault="00E6231B" w:rsidP="00193381">
      <w:pPr>
        <w:jc w:val="both"/>
        <w:rPr>
          <w:rFonts w:ascii="Times New Roman" w:hAnsi="Times New Roman"/>
          <w:sz w:val="24"/>
          <w:szCs w:val="24"/>
        </w:rPr>
      </w:pPr>
    </w:p>
    <w:sectPr w:rsidR="00E6231B" w:rsidRPr="003654BF" w:rsidSect="00B334CE">
      <w:headerReference w:type="default" r:id="rId6"/>
      <w:pgSz w:w="11900" w:h="16840"/>
      <w:pgMar w:top="1701" w:right="1134"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B5524" w14:textId="77777777" w:rsidR="006D281E" w:rsidRDefault="006D281E" w:rsidP="00845F45">
      <w:r>
        <w:separator/>
      </w:r>
    </w:p>
  </w:endnote>
  <w:endnote w:type="continuationSeparator" w:id="0">
    <w:p w14:paraId="71663430" w14:textId="77777777" w:rsidR="006D281E" w:rsidRDefault="006D281E" w:rsidP="00845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2C6F9" w14:textId="77777777" w:rsidR="006D281E" w:rsidRDefault="006D281E" w:rsidP="00845F45">
      <w:r>
        <w:separator/>
      </w:r>
    </w:p>
  </w:footnote>
  <w:footnote w:type="continuationSeparator" w:id="0">
    <w:p w14:paraId="4AA22EA1" w14:textId="77777777" w:rsidR="006D281E" w:rsidRDefault="006D281E" w:rsidP="00845F45">
      <w:r>
        <w:continuationSeparator/>
      </w:r>
    </w:p>
  </w:footnote>
  <w:footnote w:id="1">
    <w:p w14:paraId="51F4AA1F" w14:textId="77777777" w:rsidR="006D281E" w:rsidRPr="004E524A" w:rsidRDefault="006D281E" w:rsidP="00C01A64">
      <w:pPr>
        <w:pStyle w:val="Textodenotaderodap"/>
        <w:ind w:left="284" w:hanging="284"/>
      </w:pPr>
      <w:r w:rsidRPr="00AA0E20">
        <w:rPr>
          <w:rStyle w:val="Refdenotaderodap"/>
        </w:rPr>
        <w:footnoteRef/>
      </w:r>
      <w:r w:rsidRPr="004E524A">
        <w:t xml:space="preserve"> Por força do artigo 69-A da Lei Orgânica do Município de São Paulo foi publicado o Programa de Metas da nova gestão do Executivo Municipal para os anos de 2013 a 2016, no qual constou, dentre outros, o objetivo de “ampliar em 150 mil a oferta </w:t>
      </w:r>
      <w:r>
        <w:t xml:space="preserve">vagas para a educação infantil, assegurando a universalização do atendimento em pré-escola para crianças de 4 e 5 anos, atendendo </w:t>
      </w:r>
      <w:r w:rsidRPr="004E524A">
        <w:t>a demanda declarada por creches em 01/01/2013 e consolidando o Modelo Pedagógico Único”.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CAB8A" w14:textId="313B1775" w:rsidR="003654BF" w:rsidRDefault="003654BF" w:rsidP="003654BF">
    <w:pPr>
      <w:pStyle w:val="Cabealho"/>
      <w:jc w:val="center"/>
    </w:pPr>
    <w:r>
      <w:rPr>
        <w:noProof/>
        <w:lang w:eastAsia="pt-BR"/>
      </w:rPr>
      <w:drawing>
        <wp:inline distT="0" distB="0" distL="0" distR="0" wp14:anchorId="1C72E876" wp14:editId="640F123A">
          <wp:extent cx="4848225" cy="1457325"/>
          <wp:effectExtent l="0" t="0" r="0" b="0"/>
          <wp:docPr id="1" name="Imagem 1" descr="logo enf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nf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48225" cy="1457325"/>
                  </a:xfrm>
                  <a:prstGeom prst="rect">
                    <a:avLst/>
                  </a:prstGeom>
                  <a:noFill/>
                  <a:ln>
                    <a:noFill/>
                  </a:ln>
                </pic:spPr>
              </pic:pic>
            </a:graphicData>
          </a:graphic>
        </wp:inline>
      </w:drawing>
    </w:r>
  </w:p>
  <w:p w14:paraId="3DB750C2" w14:textId="77777777" w:rsidR="003654BF" w:rsidRDefault="003654B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F01"/>
    <w:rsid w:val="00010AFA"/>
    <w:rsid w:val="00011871"/>
    <w:rsid w:val="000E717C"/>
    <w:rsid w:val="0015168D"/>
    <w:rsid w:val="00193381"/>
    <w:rsid w:val="002803E5"/>
    <w:rsid w:val="002E2E21"/>
    <w:rsid w:val="003556B5"/>
    <w:rsid w:val="003654BF"/>
    <w:rsid w:val="00432912"/>
    <w:rsid w:val="00543D78"/>
    <w:rsid w:val="00614351"/>
    <w:rsid w:val="00632E09"/>
    <w:rsid w:val="00655831"/>
    <w:rsid w:val="006955B8"/>
    <w:rsid w:val="006B4260"/>
    <w:rsid w:val="006D281E"/>
    <w:rsid w:val="00702952"/>
    <w:rsid w:val="00722E57"/>
    <w:rsid w:val="00761C39"/>
    <w:rsid w:val="00775D9F"/>
    <w:rsid w:val="007B0DDD"/>
    <w:rsid w:val="007D7F01"/>
    <w:rsid w:val="008317DE"/>
    <w:rsid w:val="00845F45"/>
    <w:rsid w:val="00941A6B"/>
    <w:rsid w:val="00955E46"/>
    <w:rsid w:val="00A2334E"/>
    <w:rsid w:val="00A3648C"/>
    <w:rsid w:val="00A67C9D"/>
    <w:rsid w:val="00AA0BDB"/>
    <w:rsid w:val="00AF2666"/>
    <w:rsid w:val="00AF6150"/>
    <w:rsid w:val="00B21603"/>
    <w:rsid w:val="00B334CE"/>
    <w:rsid w:val="00B35DE2"/>
    <w:rsid w:val="00B51C52"/>
    <w:rsid w:val="00B54B47"/>
    <w:rsid w:val="00B719D9"/>
    <w:rsid w:val="00B8760C"/>
    <w:rsid w:val="00BA7CEB"/>
    <w:rsid w:val="00C01A64"/>
    <w:rsid w:val="00C7713B"/>
    <w:rsid w:val="00C81C1D"/>
    <w:rsid w:val="00CB0EA9"/>
    <w:rsid w:val="00CD003A"/>
    <w:rsid w:val="00CD7DCE"/>
    <w:rsid w:val="00CF0EDE"/>
    <w:rsid w:val="00D07D4A"/>
    <w:rsid w:val="00D100C1"/>
    <w:rsid w:val="00D25906"/>
    <w:rsid w:val="00D75457"/>
    <w:rsid w:val="00DC4F21"/>
    <w:rsid w:val="00E6231B"/>
    <w:rsid w:val="00E914C9"/>
    <w:rsid w:val="00EF56D9"/>
    <w:rsid w:val="00F016BD"/>
    <w:rsid w:val="00F631CC"/>
    <w:rsid w:val="00F93D8E"/>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D4C177"/>
  <w14:defaultImageDpi w14:val="300"/>
  <w15:docId w15:val="{A80F26CB-45E9-4BDB-A881-8DFFC9543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F01"/>
    <w:rPr>
      <w:rFonts w:ascii="Calibri" w:eastAsiaTheme="minorHAnsi" w:hAnsi="Calibri" w:cs="Times New Roman"/>
      <w:sz w:val="22"/>
      <w:szCs w:val="22"/>
    </w:rPr>
  </w:style>
  <w:style w:type="paragraph" w:styleId="Ttulo1">
    <w:name w:val="heading 1"/>
    <w:basedOn w:val="Normal"/>
    <w:next w:val="Normal"/>
    <w:link w:val="Ttulo1Char"/>
    <w:uiPriority w:val="9"/>
    <w:qFormat/>
    <w:rsid w:val="00632E09"/>
    <w:pPr>
      <w:keepNext/>
      <w:keepLines/>
      <w:spacing w:before="480"/>
      <w:jc w:val="both"/>
      <w:outlineLvl w:val="0"/>
    </w:pPr>
    <w:rPr>
      <w:rFonts w:ascii="Times New Roman" w:eastAsiaTheme="majorEastAsia" w:hAnsi="Times New Roman" w:cstheme="majorBidi"/>
      <w:b/>
      <w:bCs/>
      <w:smallCaps/>
      <w:sz w:val="24"/>
      <w:szCs w:val="24"/>
    </w:rPr>
  </w:style>
  <w:style w:type="paragraph" w:styleId="Ttulo2">
    <w:name w:val="heading 2"/>
    <w:basedOn w:val="Normal"/>
    <w:next w:val="Normal"/>
    <w:link w:val="Ttulo2Char"/>
    <w:uiPriority w:val="9"/>
    <w:unhideWhenUsed/>
    <w:qFormat/>
    <w:rsid w:val="00A3648C"/>
    <w:pPr>
      <w:keepNext/>
      <w:keepLines/>
      <w:spacing w:line="360" w:lineRule="auto"/>
      <w:jc w:val="both"/>
      <w:outlineLvl w:val="1"/>
    </w:pPr>
    <w:rPr>
      <w:rFonts w:ascii="Times New Roman" w:eastAsiaTheme="majorEastAsia" w:hAnsi="Times New Roman" w:cstheme="majorBidi"/>
      <w:b/>
      <w:bCs/>
      <w:szCs w:val="26"/>
    </w:rPr>
  </w:style>
  <w:style w:type="paragraph" w:styleId="Ttulo3">
    <w:name w:val="heading 3"/>
    <w:basedOn w:val="Normal"/>
    <w:next w:val="Normal"/>
    <w:link w:val="Ttulo3Char"/>
    <w:uiPriority w:val="9"/>
    <w:unhideWhenUsed/>
    <w:qFormat/>
    <w:rsid w:val="00A3648C"/>
    <w:pPr>
      <w:keepNext/>
      <w:keepLines/>
      <w:spacing w:line="360" w:lineRule="auto"/>
      <w:outlineLvl w:val="2"/>
    </w:pPr>
    <w:rPr>
      <w:rFonts w:ascii="Times New Roman" w:eastAsiaTheme="majorEastAsia" w:hAnsi="Times New Roman" w:cstheme="majorBidi"/>
      <w:b/>
      <w:bCs/>
      <w:szCs w:val="24"/>
    </w:rPr>
  </w:style>
  <w:style w:type="paragraph" w:styleId="Ttulo4">
    <w:name w:val="heading 4"/>
    <w:basedOn w:val="Normal"/>
    <w:next w:val="Normal"/>
    <w:link w:val="Ttulo4Char"/>
    <w:uiPriority w:val="9"/>
    <w:unhideWhenUsed/>
    <w:qFormat/>
    <w:rsid w:val="00A3648C"/>
    <w:pPr>
      <w:keepNext/>
      <w:keepLines/>
      <w:spacing w:line="360" w:lineRule="auto"/>
      <w:outlineLvl w:val="3"/>
    </w:pPr>
    <w:rPr>
      <w:rFonts w:ascii="Times New Roman" w:eastAsiaTheme="majorEastAsia" w:hAnsi="Times New Roman" w:cstheme="majorBidi"/>
      <w:b/>
      <w:bCs/>
      <w:iCs/>
      <w:szCs w:val="24"/>
    </w:rPr>
  </w:style>
  <w:style w:type="paragraph" w:styleId="Ttulo5">
    <w:name w:val="heading 5"/>
    <w:basedOn w:val="Normal"/>
    <w:next w:val="Normal"/>
    <w:link w:val="Ttulo5Char"/>
    <w:uiPriority w:val="9"/>
    <w:unhideWhenUsed/>
    <w:qFormat/>
    <w:rsid w:val="00A3648C"/>
    <w:pPr>
      <w:keepNext/>
      <w:keepLines/>
      <w:spacing w:line="360" w:lineRule="auto"/>
      <w:jc w:val="both"/>
      <w:outlineLvl w:val="4"/>
    </w:pPr>
    <w:rPr>
      <w:rFonts w:ascii="Times New Roman" w:eastAsiaTheme="majorEastAsia" w:hAnsi="Times New Roman" w:cstheme="majorBidi"/>
      <w:b/>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nhideWhenUsed/>
    <w:qFormat/>
    <w:rsid w:val="00011871"/>
    <w:pPr>
      <w:jc w:val="both"/>
    </w:pPr>
    <w:rPr>
      <w:rFonts w:ascii="Times New Roman" w:eastAsia="MS Mincho" w:hAnsi="Times New Roman" w:cstheme="minorBidi"/>
      <w:sz w:val="20"/>
      <w:szCs w:val="24"/>
    </w:rPr>
  </w:style>
  <w:style w:type="character" w:customStyle="1" w:styleId="TextodenotaderodapChar">
    <w:name w:val="Texto de nota de rodapé Char"/>
    <w:basedOn w:val="Fontepargpadro"/>
    <w:link w:val="Textodenotaderodap"/>
    <w:rsid w:val="00011871"/>
    <w:rPr>
      <w:rFonts w:ascii="Times New Roman" w:hAnsi="Times New Roman"/>
      <w:sz w:val="20"/>
    </w:rPr>
  </w:style>
  <w:style w:type="paragraph" w:styleId="Corpodetexto">
    <w:name w:val="Body Text"/>
    <w:basedOn w:val="Normal"/>
    <w:link w:val="CorpodetextoChar"/>
    <w:rsid w:val="00B21603"/>
    <w:pPr>
      <w:spacing w:before="120" w:line="360" w:lineRule="auto"/>
      <w:ind w:firstLine="1701"/>
      <w:jc w:val="both"/>
    </w:pPr>
    <w:rPr>
      <w:rFonts w:ascii="Times New Roman" w:eastAsia="Times New Roman" w:hAnsi="Times New Roman"/>
      <w:szCs w:val="24"/>
      <w:lang w:val="en-US"/>
    </w:rPr>
  </w:style>
  <w:style w:type="character" w:customStyle="1" w:styleId="CorpodetextoChar">
    <w:name w:val="Corpo de texto Char"/>
    <w:basedOn w:val="Fontepargpadro"/>
    <w:link w:val="Corpodetexto"/>
    <w:rsid w:val="00B21603"/>
    <w:rPr>
      <w:rFonts w:ascii="Times New Roman" w:eastAsia="Times New Roman" w:hAnsi="Times New Roman" w:cs="Times New Roman"/>
      <w:lang w:val="en-US"/>
    </w:rPr>
  </w:style>
  <w:style w:type="paragraph" w:styleId="Primeirorecuodecorpodetexto">
    <w:name w:val="Body Text First Indent"/>
    <w:basedOn w:val="Corpodetexto"/>
    <w:link w:val="PrimeirorecuodecorpodetextoChar"/>
    <w:autoRedefine/>
    <w:uiPriority w:val="99"/>
    <w:unhideWhenUsed/>
    <w:qFormat/>
    <w:rsid w:val="00B51C52"/>
    <w:pPr>
      <w:spacing w:before="0"/>
    </w:pPr>
    <w:rPr>
      <w:rFonts w:eastAsia="MS Mincho"/>
      <w:b/>
      <w:bCs/>
      <w:sz w:val="20"/>
      <w:vertAlign w:val="superscript"/>
    </w:rPr>
  </w:style>
  <w:style w:type="character" w:customStyle="1" w:styleId="PrimeirorecuodecorpodetextoChar">
    <w:name w:val="Primeiro recuo de corpo de texto Char"/>
    <w:basedOn w:val="CorpodetextoChar"/>
    <w:link w:val="Primeirorecuodecorpodetexto"/>
    <w:uiPriority w:val="99"/>
    <w:rsid w:val="00B51C52"/>
    <w:rPr>
      <w:rFonts w:ascii="Times New Roman" w:eastAsia="MS Mincho" w:hAnsi="Times New Roman" w:cs="Times New Roman"/>
      <w:b/>
      <w:bCs/>
      <w:sz w:val="20"/>
      <w:szCs w:val="20"/>
      <w:vertAlign w:val="superscript"/>
      <w:lang w:val="en-US"/>
    </w:rPr>
  </w:style>
  <w:style w:type="paragraph" w:styleId="Rodap">
    <w:name w:val="footer"/>
    <w:basedOn w:val="Normal"/>
    <w:link w:val="RodapChar"/>
    <w:autoRedefine/>
    <w:uiPriority w:val="99"/>
    <w:qFormat/>
    <w:rsid w:val="00B51C52"/>
    <w:pPr>
      <w:tabs>
        <w:tab w:val="center" w:pos="4320"/>
        <w:tab w:val="right" w:pos="8640"/>
      </w:tabs>
      <w:spacing w:line="360" w:lineRule="auto"/>
      <w:ind w:firstLine="1701"/>
      <w:jc w:val="both"/>
    </w:pPr>
    <w:rPr>
      <w:rFonts w:ascii="Times New Roman" w:eastAsia="MS Mincho" w:hAnsi="Times New Roman"/>
      <w:sz w:val="20"/>
      <w:szCs w:val="20"/>
      <w:vertAlign w:val="superscript"/>
    </w:rPr>
  </w:style>
  <w:style w:type="character" w:customStyle="1" w:styleId="RodapChar">
    <w:name w:val="Rodapé Char"/>
    <w:basedOn w:val="Fontepargpadro"/>
    <w:link w:val="Rodap"/>
    <w:uiPriority w:val="99"/>
    <w:rsid w:val="00B51C52"/>
    <w:rPr>
      <w:rFonts w:ascii="Times New Roman" w:eastAsia="MS Mincho" w:hAnsi="Times New Roman" w:cs="Times New Roman"/>
      <w:sz w:val="20"/>
      <w:szCs w:val="20"/>
      <w:vertAlign w:val="superscript"/>
    </w:rPr>
  </w:style>
  <w:style w:type="paragraph" w:customStyle="1" w:styleId="Notaderodap">
    <w:name w:val="Nota de rodapé"/>
    <w:basedOn w:val="Textodenotadefim"/>
    <w:next w:val="Textodenotaderodap"/>
    <w:qFormat/>
    <w:rsid w:val="00A3648C"/>
    <w:pPr>
      <w:spacing w:line="240" w:lineRule="auto"/>
    </w:pPr>
    <w:rPr>
      <w:rFonts w:cs="Times New Roman"/>
      <w:sz w:val="20"/>
    </w:rPr>
  </w:style>
  <w:style w:type="paragraph" w:styleId="Textodenotadefim">
    <w:name w:val="endnote text"/>
    <w:basedOn w:val="Normal"/>
    <w:link w:val="TextodenotadefimChar"/>
    <w:uiPriority w:val="99"/>
    <w:semiHidden/>
    <w:unhideWhenUsed/>
    <w:rsid w:val="00B719D9"/>
    <w:pPr>
      <w:spacing w:line="360" w:lineRule="auto"/>
      <w:jc w:val="both"/>
    </w:pPr>
    <w:rPr>
      <w:rFonts w:ascii="Times New Roman" w:eastAsia="MS Mincho" w:hAnsi="Times New Roman" w:cs="Cambria"/>
      <w:szCs w:val="24"/>
    </w:rPr>
  </w:style>
  <w:style w:type="character" w:customStyle="1" w:styleId="TextodenotadefimChar">
    <w:name w:val="Texto de nota de fim Char"/>
    <w:basedOn w:val="Fontepargpadro"/>
    <w:link w:val="Textodenotadefim"/>
    <w:uiPriority w:val="99"/>
    <w:semiHidden/>
    <w:rsid w:val="00B719D9"/>
    <w:rPr>
      <w:rFonts w:ascii="Times New Roman" w:hAnsi="Times New Roman"/>
    </w:rPr>
  </w:style>
  <w:style w:type="paragraph" w:customStyle="1" w:styleId="rodape">
    <w:name w:val="rodape"/>
    <w:basedOn w:val="Notaderodap"/>
    <w:autoRedefine/>
    <w:qFormat/>
    <w:rsid w:val="00A3648C"/>
  </w:style>
  <w:style w:type="paragraph" w:customStyle="1" w:styleId="Rodape0">
    <w:name w:val="Rodape"/>
    <w:basedOn w:val="Normal"/>
    <w:qFormat/>
    <w:rsid w:val="00A3648C"/>
    <w:pPr>
      <w:spacing w:line="360" w:lineRule="auto"/>
      <w:jc w:val="both"/>
    </w:pPr>
    <w:rPr>
      <w:rFonts w:ascii="Times New Roman" w:eastAsia="MS Mincho" w:hAnsi="Times New Roman" w:cs="Cambria"/>
      <w:sz w:val="20"/>
      <w:szCs w:val="20"/>
    </w:rPr>
  </w:style>
  <w:style w:type="character" w:customStyle="1" w:styleId="Ttulo1Char">
    <w:name w:val="Título 1 Char"/>
    <w:basedOn w:val="Fontepargpadro"/>
    <w:link w:val="Ttulo1"/>
    <w:uiPriority w:val="9"/>
    <w:rsid w:val="00632E09"/>
    <w:rPr>
      <w:rFonts w:ascii="Times New Roman" w:eastAsiaTheme="majorEastAsia" w:hAnsi="Times New Roman" w:cstheme="majorBidi"/>
      <w:b/>
      <w:bCs/>
      <w:smallCaps/>
    </w:rPr>
  </w:style>
  <w:style w:type="character" w:customStyle="1" w:styleId="Ttulo2Char">
    <w:name w:val="Título 2 Char"/>
    <w:basedOn w:val="Fontepargpadro"/>
    <w:link w:val="Ttulo2"/>
    <w:uiPriority w:val="9"/>
    <w:rsid w:val="00A3648C"/>
    <w:rPr>
      <w:rFonts w:ascii="Times New Roman" w:eastAsiaTheme="majorEastAsia" w:hAnsi="Times New Roman" w:cstheme="majorBidi"/>
      <w:b/>
      <w:bCs/>
      <w:szCs w:val="26"/>
    </w:rPr>
  </w:style>
  <w:style w:type="character" w:styleId="Refdenotaderodap">
    <w:name w:val="footnote reference"/>
    <w:basedOn w:val="TextodenotaderodapChar"/>
    <w:autoRedefine/>
    <w:uiPriority w:val="99"/>
    <w:qFormat/>
    <w:rsid w:val="00F93D8E"/>
    <w:rPr>
      <w:rFonts w:ascii="Times New Roman" w:eastAsia="MS Mincho" w:hAnsi="Times New Roman" w:cs="Cambria"/>
      <w:sz w:val="20"/>
      <w:szCs w:val="20"/>
      <w:vertAlign w:val="superscript"/>
    </w:rPr>
  </w:style>
  <w:style w:type="paragraph" w:styleId="Citao">
    <w:name w:val="Quote"/>
    <w:basedOn w:val="Primeirorecuodecorpodetexto"/>
    <w:next w:val="Normal"/>
    <w:link w:val="CitaoChar"/>
    <w:uiPriority w:val="29"/>
    <w:qFormat/>
    <w:rsid w:val="00B54B47"/>
    <w:pPr>
      <w:spacing w:line="240" w:lineRule="auto"/>
      <w:ind w:left="2268" w:firstLine="0"/>
    </w:pPr>
    <w:rPr>
      <w:rFonts w:cs="Cambria"/>
      <w:b w:val="0"/>
      <w:bCs w:val="0"/>
      <w:szCs w:val="20"/>
      <w:vertAlign w:val="baseline"/>
    </w:rPr>
  </w:style>
  <w:style w:type="character" w:customStyle="1" w:styleId="CitaoChar">
    <w:name w:val="Citação Char"/>
    <w:basedOn w:val="Fontepargpadro"/>
    <w:link w:val="Citao"/>
    <w:uiPriority w:val="29"/>
    <w:rsid w:val="00B54B47"/>
    <w:rPr>
      <w:rFonts w:ascii="Times New Roman" w:hAnsi="Times New Roman" w:cs="Cambria"/>
      <w:sz w:val="20"/>
      <w:szCs w:val="20"/>
      <w:lang w:val="en-US"/>
    </w:rPr>
  </w:style>
  <w:style w:type="character" w:customStyle="1" w:styleId="Ttulo3Char">
    <w:name w:val="Título 3 Char"/>
    <w:basedOn w:val="Fontepargpadro"/>
    <w:link w:val="Ttulo3"/>
    <w:uiPriority w:val="9"/>
    <w:rsid w:val="00A3648C"/>
    <w:rPr>
      <w:rFonts w:ascii="Times New Roman" w:eastAsiaTheme="majorEastAsia" w:hAnsi="Times New Roman" w:cstheme="majorBidi"/>
      <w:b/>
      <w:bCs/>
    </w:rPr>
  </w:style>
  <w:style w:type="character" w:customStyle="1" w:styleId="Ttulo4Char">
    <w:name w:val="Título 4 Char"/>
    <w:basedOn w:val="Fontepargpadro"/>
    <w:link w:val="Ttulo4"/>
    <w:uiPriority w:val="9"/>
    <w:rsid w:val="00A3648C"/>
    <w:rPr>
      <w:rFonts w:ascii="Times New Roman" w:eastAsiaTheme="majorEastAsia" w:hAnsi="Times New Roman" w:cstheme="majorBidi"/>
      <w:b/>
      <w:bCs/>
      <w:iCs/>
    </w:rPr>
  </w:style>
  <w:style w:type="character" w:customStyle="1" w:styleId="Ttulo5Char">
    <w:name w:val="Título 5 Char"/>
    <w:basedOn w:val="Fontepargpadro"/>
    <w:link w:val="Ttulo5"/>
    <w:uiPriority w:val="9"/>
    <w:rsid w:val="00A3648C"/>
    <w:rPr>
      <w:rFonts w:ascii="Times New Roman" w:eastAsiaTheme="majorEastAsia" w:hAnsi="Times New Roman" w:cstheme="majorBidi"/>
      <w:b/>
    </w:rPr>
  </w:style>
  <w:style w:type="paragraph" w:styleId="Legenda">
    <w:name w:val="caption"/>
    <w:basedOn w:val="Normal"/>
    <w:next w:val="Normal"/>
    <w:uiPriority w:val="35"/>
    <w:unhideWhenUsed/>
    <w:qFormat/>
    <w:rsid w:val="000E717C"/>
    <w:pPr>
      <w:spacing w:after="200"/>
      <w:jc w:val="both"/>
    </w:pPr>
    <w:rPr>
      <w:rFonts w:ascii="Times New Roman" w:eastAsia="MS Mincho" w:hAnsi="Times New Roman" w:cs="Cambria"/>
      <w:bCs/>
      <w:sz w:val="20"/>
      <w:szCs w:val="20"/>
    </w:rPr>
  </w:style>
  <w:style w:type="paragraph" w:styleId="Cabealho">
    <w:name w:val="header"/>
    <w:basedOn w:val="Normal"/>
    <w:link w:val="CabealhoChar"/>
    <w:unhideWhenUsed/>
    <w:rsid w:val="003654BF"/>
    <w:pPr>
      <w:tabs>
        <w:tab w:val="center" w:pos="4252"/>
        <w:tab w:val="right" w:pos="8504"/>
      </w:tabs>
    </w:pPr>
  </w:style>
  <w:style w:type="character" w:customStyle="1" w:styleId="CabealhoChar">
    <w:name w:val="Cabeçalho Char"/>
    <w:basedOn w:val="Fontepargpadro"/>
    <w:link w:val="Cabealho"/>
    <w:rsid w:val="003654BF"/>
    <w:rPr>
      <w:rFonts w:ascii="Calibri" w:eastAsiaTheme="minorHAns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1429</Words>
  <Characters>7720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Refosco</dc:creator>
  <cp:keywords/>
  <dc:description/>
  <cp:lastModifiedBy>Thalita Silva de Oliveira</cp:lastModifiedBy>
  <cp:revision>4</cp:revision>
  <dcterms:created xsi:type="dcterms:W3CDTF">2018-11-25T18:27:00Z</dcterms:created>
  <dcterms:modified xsi:type="dcterms:W3CDTF">2018-11-29T20:59:00Z</dcterms:modified>
</cp:coreProperties>
</file>